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C6" w:rsidRPr="00E61C32" w:rsidRDefault="003D00C6"/>
    <w:p w:rsidR="00DA141B" w:rsidRPr="00E61C32" w:rsidRDefault="00AE708B" w:rsidP="00AE708B">
      <w:pPr>
        <w:tabs>
          <w:tab w:val="left" w:pos="7965"/>
        </w:tabs>
      </w:pPr>
      <w:r>
        <w:tab/>
      </w:r>
    </w:p>
    <w:p w:rsidR="00DA141B" w:rsidRPr="00E61C32" w:rsidRDefault="00DA141B"/>
    <w:p w:rsidR="00B86B7F" w:rsidRPr="00574E4E" w:rsidRDefault="00F574E9" w:rsidP="00815256">
      <w:pPr>
        <w:pStyle w:val="SchlagzeilePressemitteilung"/>
        <w:framePr w:w="8179" w:wrap="around" w:y="2365"/>
        <w:spacing w:line="240" w:lineRule="auto"/>
        <w:ind w:left="142"/>
        <w:rPr>
          <w:b w:val="0"/>
          <w:color w:val="7A716F"/>
          <w:sz w:val="40"/>
          <w:szCs w:val="40"/>
        </w:rPr>
      </w:pPr>
      <w:r>
        <w:rPr>
          <w:color w:val="7A716F"/>
          <w:sz w:val="40"/>
        </w:rPr>
        <w:t>CHG-MERIDIAN's first-quarter earnings power increases yet again</w:t>
      </w:r>
    </w:p>
    <w:p w:rsidR="009D4F57" w:rsidRPr="008C4758" w:rsidRDefault="009D4F57" w:rsidP="009D4F57">
      <w:pPr>
        <w:pStyle w:val="AufzhlungspunkteCHG-MERIDIAN"/>
        <w:spacing w:line="360" w:lineRule="auto"/>
        <w:ind w:left="641" w:right="991" w:hanging="357"/>
        <w:rPr>
          <w:rFonts w:cs="Arial"/>
          <w:b/>
          <w:color w:val="7A716F"/>
          <w:sz w:val="24"/>
        </w:rPr>
      </w:pPr>
      <w:r>
        <w:rPr>
          <w:b/>
          <w:color w:val="7A716F"/>
          <w:sz w:val="24"/>
        </w:rPr>
        <w:t>Lease originations increase in Southern and Eastern Europe</w:t>
      </w:r>
    </w:p>
    <w:p w:rsidR="00AE708B" w:rsidRPr="008C4758" w:rsidRDefault="003F430F" w:rsidP="008C4758">
      <w:pPr>
        <w:pStyle w:val="AufzhlungspunkteCHG-MERIDIAN"/>
        <w:spacing w:line="360" w:lineRule="auto"/>
        <w:ind w:left="641" w:right="991" w:hanging="357"/>
        <w:rPr>
          <w:rFonts w:cs="Arial"/>
          <w:b/>
          <w:color w:val="7A716F"/>
          <w:sz w:val="24"/>
        </w:rPr>
      </w:pPr>
      <w:r>
        <w:rPr>
          <w:b/>
          <w:color w:val="7A716F"/>
          <w:sz w:val="24"/>
        </w:rPr>
        <w:t>Technology manager's gross profit increases significantly over same quarter last year</w:t>
      </w:r>
    </w:p>
    <w:p w:rsidR="00B86B7F" w:rsidRPr="008C4758" w:rsidRDefault="00C278AD" w:rsidP="008C4758">
      <w:pPr>
        <w:pStyle w:val="AufzhlungspunkteCHG-MERIDIAN"/>
        <w:spacing w:line="360" w:lineRule="auto"/>
        <w:ind w:left="641" w:right="991" w:hanging="357"/>
        <w:rPr>
          <w:color w:val="7A716F"/>
          <w:sz w:val="24"/>
        </w:rPr>
      </w:pPr>
      <w:r>
        <w:rPr>
          <w:b/>
          <w:color w:val="7A716F"/>
          <w:sz w:val="24"/>
        </w:rPr>
        <w:t>Extension building in the works in Weingarten: Move-in around end of 2015</w:t>
      </w:r>
    </w:p>
    <w:p w:rsidR="00B86B7F" w:rsidRPr="003F430F" w:rsidRDefault="00B86B7F" w:rsidP="00B86B7F">
      <w:pPr>
        <w:pStyle w:val="Listenabsatz"/>
      </w:pPr>
    </w:p>
    <w:p w:rsidR="00B86B7F" w:rsidRDefault="00B86B7F" w:rsidP="00B86B7F">
      <w:pPr>
        <w:pStyle w:val="AufzhlungspunkteCHG-MERIDIAN"/>
        <w:numPr>
          <w:ilvl w:val="0"/>
          <w:numId w:val="0"/>
        </w:numPr>
        <w:rPr>
          <w:sz w:val="22"/>
        </w:rPr>
      </w:pPr>
    </w:p>
    <w:p w:rsidR="00B86B7F" w:rsidRPr="00F649D6" w:rsidRDefault="00364AF8" w:rsidP="00815256">
      <w:pPr>
        <w:pStyle w:val="AufzhlungspunkteCHG-MERIDIAN"/>
        <w:numPr>
          <w:ilvl w:val="0"/>
          <w:numId w:val="0"/>
        </w:numPr>
        <w:jc w:val="both"/>
        <w:rPr>
          <w:szCs w:val="19"/>
          <w:u w:val="single"/>
        </w:rPr>
      </w:pPr>
      <w:r>
        <w:rPr>
          <w:u w:val="single"/>
        </w:rPr>
        <w:t>Weingarten, Friday, April 24, 2015</w:t>
      </w:r>
    </w:p>
    <w:p w:rsidR="00595777" w:rsidRPr="00F649D6" w:rsidRDefault="00595777" w:rsidP="00815256">
      <w:pPr>
        <w:pStyle w:val="AufzhlungspunkteCHG-MERIDIAN"/>
        <w:numPr>
          <w:ilvl w:val="0"/>
          <w:numId w:val="0"/>
        </w:numPr>
        <w:jc w:val="both"/>
        <w:rPr>
          <w:szCs w:val="19"/>
        </w:rPr>
      </w:pPr>
    </w:p>
    <w:p w:rsidR="009D4F57" w:rsidRDefault="00980BFF" w:rsidP="009D4F57">
      <w:pPr>
        <w:pStyle w:val="AufzhlungspunkteCHG-MERIDIAN"/>
        <w:numPr>
          <w:ilvl w:val="0"/>
          <w:numId w:val="0"/>
        </w:numPr>
        <w:jc w:val="both"/>
        <w:rPr>
          <w:szCs w:val="19"/>
        </w:rPr>
      </w:pPr>
      <w:r>
        <w:t xml:space="preserve">The investment climate in Southern and Eastern Europe is improving significantly, if CHG-MERIDIAN lease originations are any indication. The Weingarten (Baden-Wuerttemberg, Germany)-based financial consultants and technology managers' first-quarter Southern European lease originations climbed to €29.7 million in 2015 (Q1 2014: €23.9 million), while in Eastern Europe they climbed to €6.7 million (Q1 2014: €3.0 million). </w:t>
      </w:r>
    </w:p>
    <w:p w:rsidR="009D4F57" w:rsidRDefault="009D4F57" w:rsidP="009D4F57">
      <w:pPr>
        <w:pStyle w:val="AufzhlungspunkteCHG-MERIDIAN"/>
        <w:numPr>
          <w:ilvl w:val="0"/>
          <w:numId w:val="0"/>
        </w:numPr>
        <w:jc w:val="both"/>
        <w:rPr>
          <w:szCs w:val="19"/>
        </w:rPr>
      </w:pPr>
    </w:p>
    <w:p w:rsidR="00C90223" w:rsidRDefault="00060E4A" w:rsidP="00815256">
      <w:pPr>
        <w:pStyle w:val="AufzhlungspunkteCHG-MERIDIAN"/>
        <w:numPr>
          <w:ilvl w:val="0"/>
          <w:numId w:val="0"/>
        </w:numPr>
        <w:jc w:val="both"/>
        <w:rPr>
          <w:szCs w:val="19"/>
        </w:rPr>
      </w:pPr>
      <w:r>
        <w:t>The fact that the group's overall new investment volumes for the quarter still totaled €233 million, €11.7 million under 2014's Q1</w:t>
      </w:r>
      <w:r w:rsidR="00C369A6">
        <w:t xml:space="preserve"> total of around €245 million, </w:t>
      </w:r>
      <w:r>
        <w:t xml:space="preserve">has to do with growth in North America having remained modest thus far. "The year is still long," asserted Jürgen Mossakowski, Chairman of the CHG-MERIDIAN board, "and we are confident that we will steer the group back onto the growth track over the course of the year." Mossakowski said that, generally speaking, nothing had changed about the investment climate in their home market, but large-scale investment decisions often took a long time and "we still have a few contracts in the pipeline from which we expect sustainable growth."  </w:t>
      </w:r>
    </w:p>
    <w:p w:rsidR="00C90223" w:rsidRPr="009D4F57" w:rsidRDefault="00C90223" w:rsidP="00815256">
      <w:pPr>
        <w:pStyle w:val="AufzhlungspunkteCHG-MERIDIAN"/>
        <w:numPr>
          <w:ilvl w:val="0"/>
          <w:numId w:val="0"/>
        </w:numPr>
        <w:jc w:val="both"/>
        <w:rPr>
          <w:b/>
          <w:szCs w:val="19"/>
        </w:rPr>
      </w:pPr>
    </w:p>
    <w:p w:rsidR="009D4F57" w:rsidRPr="009D4F57" w:rsidRDefault="009D4F57" w:rsidP="00815256">
      <w:pPr>
        <w:pStyle w:val="AufzhlungspunkteCHG-MERIDIAN"/>
        <w:numPr>
          <w:ilvl w:val="0"/>
          <w:numId w:val="0"/>
        </w:numPr>
        <w:jc w:val="both"/>
        <w:rPr>
          <w:b/>
          <w:szCs w:val="19"/>
        </w:rPr>
      </w:pPr>
      <w:r>
        <w:rPr>
          <w:b/>
        </w:rPr>
        <w:t>Significantly higher gross profit in first quarter</w:t>
      </w:r>
    </w:p>
    <w:p w:rsidR="009D4F57" w:rsidRDefault="009D4F57" w:rsidP="009D4F57">
      <w:pPr>
        <w:pStyle w:val="AufzhlungspunkteCHG-MERIDIAN"/>
        <w:numPr>
          <w:ilvl w:val="0"/>
          <w:numId w:val="0"/>
        </w:numPr>
        <w:jc w:val="both"/>
        <w:rPr>
          <w:szCs w:val="19"/>
        </w:rPr>
      </w:pPr>
      <w:r>
        <w:t>In terms of revenue, the first quarter of 2015 was a great one for CHG-MERIDIAN: gross profit within the group, which is active in 23 countries worldwide, rose to €32.3 million (Q1 2014: €26.7 million). First-quarter earnings jumped in the Americas region, and in Northern Europe, a late-2014 purchase only finalized during this quarter added another €1.4 million boost to the earnings side. "In other words," said Mossakowski, "CHG-MERIDIAN remained on a profitable course throughout the first part of 2015."</w:t>
      </w:r>
    </w:p>
    <w:p w:rsidR="009D4F57" w:rsidRDefault="009D4F57" w:rsidP="00815256">
      <w:pPr>
        <w:pStyle w:val="AufzhlungspunkteCHG-MERIDIAN"/>
        <w:numPr>
          <w:ilvl w:val="0"/>
          <w:numId w:val="0"/>
        </w:numPr>
        <w:jc w:val="both"/>
        <w:rPr>
          <w:szCs w:val="19"/>
        </w:rPr>
      </w:pPr>
    </w:p>
    <w:p w:rsidR="00056021" w:rsidRDefault="00056021" w:rsidP="00815256">
      <w:pPr>
        <w:pStyle w:val="AufzhlungspunkteCHG-MERIDIAN"/>
        <w:numPr>
          <w:ilvl w:val="0"/>
          <w:numId w:val="0"/>
        </w:numPr>
        <w:jc w:val="both"/>
        <w:rPr>
          <w:szCs w:val="19"/>
        </w:rPr>
      </w:pPr>
      <w:r>
        <w:t>Both new contracts and completed contracts were up overall in the first quarter, which Mossakowski described as a good sign and a trend barometer for 2015: "It shows that our business model is highly attractive, and that we've managed to convince more and more customers to employ our services." The fact that more and more contracts are necessary to reach the same volumes, he noted, also has to do with the fact that the smartphones and iPads frequently financed today are far less expensive than conventional PCs or servers.</w:t>
      </w:r>
    </w:p>
    <w:p w:rsidR="009D4F57" w:rsidRDefault="009D4F57" w:rsidP="00815256">
      <w:pPr>
        <w:pStyle w:val="AufzhlungspunkteCHG-MERIDIAN"/>
        <w:numPr>
          <w:ilvl w:val="0"/>
          <w:numId w:val="0"/>
        </w:numPr>
        <w:jc w:val="both"/>
        <w:rPr>
          <w:szCs w:val="19"/>
        </w:rPr>
      </w:pPr>
    </w:p>
    <w:p w:rsidR="009D4F57" w:rsidRDefault="009D4F57" w:rsidP="009D4F57">
      <w:pPr>
        <w:pStyle w:val="AufzhlungspunkteCHG-MERIDIAN"/>
        <w:numPr>
          <w:ilvl w:val="0"/>
          <w:numId w:val="0"/>
        </w:numPr>
        <w:jc w:val="both"/>
        <w:rPr>
          <w:szCs w:val="19"/>
        </w:rPr>
      </w:pPr>
    </w:p>
    <w:p w:rsidR="009D4F57" w:rsidRPr="009D4F57" w:rsidRDefault="009D4F57" w:rsidP="009D4F57">
      <w:pPr>
        <w:pStyle w:val="AufzhlungspunkteCHG-MERIDIAN"/>
        <w:numPr>
          <w:ilvl w:val="0"/>
          <w:numId w:val="0"/>
        </w:numPr>
        <w:jc w:val="both"/>
        <w:rPr>
          <w:b/>
          <w:szCs w:val="19"/>
        </w:rPr>
      </w:pPr>
      <w:r>
        <w:rPr>
          <w:b/>
        </w:rPr>
        <w:lastRenderedPageBreak/>
        <w:t>Mossakowski: keep pushing ahead with transition to technology managers</w:t>
      </w:r>
    </w:p>
    <w:p w:rsidR="00A41EBA" w:rsidRDefault="00746B17" w:rsidP="00815256">
      <w:pPr>
        <w:pStyle w:val="AufzhlungspunkteCHG-MERIDIAN"/>
        <w:numPr>
          <w:ilvl w:val="0"/>
          <w:numId w:val="0"/>
        </w:numPr>
        <w:jc w:val="both"/>
        <w:rPr>
          <w:szCs w:val="19"/>
        </w:rPr>
      </w:pPr>
      <w:r>
        <w:t xml:space="preserve">At the Technology and Service Centers CHG-MERIDIAN operates in Gross-Gerau (near Frankfurt am Main, Germany) and Skien (Norway), preparing desktop computers, notebooks and printers for resale, around 35,000 pieces of IT equipment underwent "eraSURE", a TÜV- and DEKRA-certified data erasure procedure. For comparison purposes, that corresponds to around half the annual total for as recently as 2011 (2011: 78,000 erasures). Company service volumes in this area of business have doubled over the past five years, and are continuing to increase rapidly. </w:t>
      </w:r>
    </w:p>
    <w:p w:rsidR="009D4F57" w:rsidRDefault="009D4F57" w:rsidP="00815256">
      <w:pPr>
        <w:pStyle w:val="AufzhlungspunkteCHG-MERIDIAN"/>
        <w:numPr>
          <w:ilvl w:val="0"/>
          <w:numId w:val="0"/>
        </w:numPr>
        <w:jc w:val="both"/>
        <w:rPr>
          <w:szCs w:val="19"/>
        </w:rPr>
      </w:pPr>
    </w:p>
    <w:p w:rsidR="00A41EBA" w:rsidRDefault="00A41EBA" w:rsidP="00815256">
      <w:pPr>
        <w:pStyle w:val="AufzhlungspunkteCHG-MERIDIAN"/>
        <w:numPr>
          <w:ilvl w:val="0"/>
          <w:numId w:val="0"/>
        </w:numPr>
        <w:jc w:val="both"/>
        <w:rPr>
          <w:szCs w:val="19"/>
        </w:rPr>
      </w:pPr>
      <w:r>
        <w:t>For the 2015 fiscal year, Jürgen Mossakowski is aiming to increase both lease originations and net earnings over the previous year. He is well aware that this wi</w:t>
      </w:r>
      <w:bookmarkStart w:id="0" w:name="_GoBack"/>
      <w:bookmarkEnd w:id="0"/>
      <w:r>
        <w:t xml:space="preserve">ll take a great deal of effort. "We're in an excellent position; in terms of both service provision and financing, we're benefiting from some good choices made in previous years. But we mustn't let up in our efforts—we need to keep pushing ahead with our transition to </w:t>
      </w:r>
      <w:r w:rsidR="00C369A6">
        <w:t>a comprehensive technology management organization</w:t>
      </w:r>
      <w:r>
        <w:t>."</w:t>
      </w:r>
    </w:p>
    <w:p w:rsidR="00A41EBA" w:rsidRDefault="00A41EBA" w:rsidP="00815256">
      <w:pPr>
        <w:pStyle w:val="AufzhlungspunkteCHG-MERIDIAN"/>
        <w:numPr>
          <w:ilvl w:val="0"/>
          <w:numId w:val="0"/>
        </w:numPr>
        <w:jc w:val="both"/>
        <w:rPr>
          <w:szCs w:val="19"/>
        </w:rPr>
      </w:pPr>
    </w:p>
    <w:p w:rsidR="00746B17" w:rsidRPr="00F649D6" w:rsidRDefault="0072300A" w:rsidP="00815256">
      <w:pPr>
        <w:pStyle w:val="AufzhlungspunkteCHG-MERIDIAN"/>
        <w:numPr>
          <w:ilvl w:val="0"/>
          <w:numId w:val="0"/>
        </w:numPr>
        <w:jc w:val="both"/>
        <w:rPr>
          <w:szCs w:val="19"/>
        </w:rPr>
      </w:pPr>
      <w:r>
        <w:t xml:space="preserve">The company is already busy creating space for additional growth: employees at the Head Office in Weingarten recently held a topping out ceremony for a 51,020-square-foot extension building, which </w:t>
      </w:r>
      <w:proofErr w:type="gramStart"/>
      <w:r>
        <w:t>will be occupied</w:t>
      </w:r>
      <w:proofErr w:type="gramEnd"/>
      <w:r>
        <w:t xml:space="preserve"> starting around the turn of the year.</w:t>
      </w:r>
    </w:p>
    <w:p w:rsidR="00AE440C" w:rsidRDefault="00AE440C" w:rsidP="00815256">
      <w:pPr>
        <w:pStyle w:val="AufzhlungspunkteCHG-MERIDIAN"/>
        <w:numPr>
          <w:ilvl w:val="0"/>
          <w:numId w:val="0"/>
        </w:numPr>
        <w:jc w:val="both"/>
        <w:rPr>
          <w:szCs w:val="19"/>
        </w:rPr>
      </w:pPr>
    </w:p>
    <w:p w:rsidR="00127901" w:rsidRDefault="00127901" w:rsidP="00815256">
      <w:pPr>
        <w:pStyle w:val="AufzhlungspunkteCHG-MERIDIAN"/>
        <w:numPr>
          <w:ilvl w:val="0"/>
          <w:numId w:val="0"/>
        </w:numPr>
        <w:jc w:val="both"/>
        <w:rPr>
          <w:b/>
          <w:szCs w:val="19"/>
        </w:rPr>
      </w:pPr>
    </w:p>
    <w:p w:rsidR="008C4758" w:rsidRDefault="008C4758" w:rsidP="008C4758">
      <w:pPr>
        <w:pStyle w:val="AufzhlungspunkteCHG-MERIDIAN"/>
        <w:numPr>
          <w:ilvl w:val="0"/>
          <w:numId w:val="0"/>
        </w:numPr>
        <w:spacing w:line="360" w:lineRule="auto"/>
        <w:ind w:right="-1"/>
        <w:jc w:val="both"/>
        <w:rPr>
          <w:szCs w:val="19"/>
        </w:rPr>
      </w:pPr>
    </w:p>
    <w:p w:rsidR="008C4758" w:rsidRPr="00E75125" w:rsidRDefault="008C4758" w:rsidP="008C4758">
      <w:pPr>
        <w:pStyle w:val="AufzhlungspunkteCHG-MERIDIAN"/>
        <w:numPr>
          <w:ilvl w:val="0"/>
          <w:numId w:val="0"/>
        </w:numPr>
        <w:spacing w:line="360" w:lineRule="auto"/>
        <w:rPr>
          <w:sz w:val="22"/>
          <w:szCs w:val="19"/>
        </w:rPr>
      </w:pPr>
      <w:r>
        <w:rPr>
          <w:b/>
          <w:caps/>
          <w:color w:val="7A716F" w:themeColor="text1"/>
          <w:sz w:val="22"/>
        </w:rPr>
        <w:t>CHG-MERIDIAN AG key financial figures – as of 03/31/2015</w:t>
      </w:r>
    </w:p>
    <w:tbl>
      <w:tblPr>
        <w:tblW w:w="9276" w:type="dxa"/>
        <w:tblInd w:w="70" w:type="dxa"/>
        <w:tblLayout w:type="fixed"/>
        <w:tblCellMar>
          <w:left w:w="70" w:type="dxa"/>
          <w:right w:w="70" w:type="dxa"/>
        </w:tblCellMar>
        <w:tblLook w:val="04A0" w:firstRow="1" w:lastRow="0" w:firstColumn="1" w:lastColumn="0" w:noHBand="0" w:noVBand="1"/>
      </w:tblPr>
      <w:tblGrid>
        <w:gridCol w:w="3828"/>
        <w:gridCol w:w="1816"/>
        <w:gridCol w:w="1816"/>
        <w:gridCol w:w="1816"/>
      </w:tblGrid>
      <w:tr w:rsidR="008C4758" w:rsidRPr="00981B7D" w:rsidTr="008C4758">
        <w:trPr>
          <w:trHeight w:val="210"/>
        </w:trPr>
        <w:tc>
          <w:tcPr>
            <w:tcW w:w="3828" w:type="dxa"/>
            <w:tcBorders>
              <w:top w:val="nil"/>
              <w:left w:val="nil"/>
              <w:right w:val="nil"/>
            </w:tcBorders>
            <w:shd w:val="clear" w:color="000000" w:fill="ACA53D"/>
            <w:noWrap/>
            <w:hideMark/>
          </w:tcPr>
          <w:p w:rsidR="008C4758" w:rsidRPr="00981B7D" w:rsidRDefault="008C4758" w:rsidP="008C4758">
            <w:pPr>
              <w:rPr>
                <w:b/>
                <w:color w:val="F8F8F8"/>
                <w:szCs w:val="19"/>
              </w:rPr>
            </w:pPr>
            <w:r>
              <w:rPr>
                <w:b/>
                <w:color w:val="F8F8F8"/>
              </w:rPr>
              <w:t>in TEUR</w:t>
            </w:r>
          </w:p>
        </w:tc>
        <w:tc>
          <w:tcPr>
            <w:tcW w:w="1816" w:type="dxa"/>
            <w:tcBorders>
              <w:top w:val="nil"/>
              <w:left w:val="nil"/>
              <w:right w:val="nil"/>
            </w:tcBorders>
            <w:shd w:val="clear" w:color="000000" w:fill="ACA53D"/>
            <w:noWrap/>
            <w:hideMark/>
          </w:tcPr>
          <w:p w:rsidR="008C4758" w:rsidRPr="00981B7D" w:rsidRDefault="008C4758" w:rsidP="00550817">
            <w:pPr>
              <w:jc w:val="right"/>
              <w:rPr>
                <w:b/>
                <w:color w:val="F8F8F8"/>
                <w:szCs w:val="19"/>
              </w:rPr>
            </w:pPr>
            <w:r>
              <w:rPr>
                <w:b/>
                <w:color w:val="F8F8F8"/>
              </w:rPr>
              <w:t xml:space="preserve">             3/31/2015</w:t>
            </w:r>
          </w:p>
        </w:tc>
        <w:tc>
          <w:tcPr>
            <w:tcW w:w="1816" w:type="dxa"/>
            <w:tcBorders>
              <w:top w:val="nil"/>
              <w:left w:val="nil"/>
              <w:right w:val="nil"/>
            </w:tcBorders>
            <w:shd w:val="clear" w:color="000000" w:fill="ACA53D"/>
            <w:noWrap/>
            <w:hideMark/>
          </w:tcPr>
          <w:p w:rsidR="008C4758" w:rsidRPr="00981B7D" w:rsidRDefault="008C4758" w:rsidP="00550817">
            <w:pPr>
              <w:jc w:val="right"/>
              <w:rPr>
                <w:b/>
                <w:color w:val="F8F8F8"/>
                <w:szCs w:val="19"/>
              </w:rPr>
            </w:pPr>
            <w:r>
              <w:rPr>
                <w:b/>
                <w:color w:val="F8F8F8"/>
              </w:rPr>
              <w:t xml:space="preserve">             3/31/2014</w:t>
            </w:r>
          </w:p>
        </w:tc>
        <w:tc>
          <w:tcPr>
            <w:tcW w:w="1816" w:type="dxa"/>
            <w:tcBorders>
              <w:top w:val="nil"/>
              <w:left w:val="nil"/>
              <w:right w:val="nil"/>
            </w:tcBorders>
            <w:shd w:val="clear" w:color="000000" w:fill="ACA53D"/>
            <w:noWrap/>
            <w:hideMark/>
          </w:tcPr>
          <w:p w:rsidR="008C4758" w:rsidRPr="00981B7D" w:rsidRDefault="008C4758" w:rsidP="008C4758">
            <w:pPr>
              <w:jc w:val="right"/>
              <w:rPr>
                <w:b/>
                <w:color w:val="F8F8F8"/>
                <w:szCs w:val="19"/>
              </w:rPr>
            </w:pPr>
            <w:r>
              <w:rPr>
                <w:b/>
                <w:color w:val="F8F8F8"/>
              </w:rPr>
              <w:t xml:space="preserve">                   2014</w:t>
            </w:r>
          </w:p>
        </w:tc>
      </w:tr>
      <w:tr w:rsidR="008C4758" w:rsidRPr="00981B7D" w:rsidTr="008C4758">
        <w:trPr>
          <w:trHeight w:val="240"/>
        </w:trPr>
        <w:tc>
          <w:tcPr>
            <w:tcW w:w="3828" w:type="dxa"/>
            <w:tcBorders>
              <w:top w:val="nil"/>
              <w:left w:val="nil"/>
              <w:right w:val="nil"/>
            </w:tcBorders>
            <w:shd w:val="clear" w:color="000000" w:fill="auto"/>
            <w:noWrap/>
            <w:vAlign w:val="bottom"/>
            <w:hideMark/>
          </w:tcPr>
          <w:p w:rsidR="008C4758" w:rsidRPr="00981B7D" w:rsidRDefault="008C4758" w:rsidP="008C4758">
            <w:pPr>
              <w:spacing w:line="240" w:lineRule="auto"/>
              <w:jc w:val="left"/>
              <w:rPr>
                <w:rFonts w:eastAsia="Times New Roman" w:cs="Arial"/>
                <w:color w:val="000000"/>
                <w:szCs w:val="19"/>
              </w:rPr>
            </w:pPr>
            <w:r>
              <w:rPr>
                <w:color w:val="000000"/>
              </w:rPr>
              <w:t>Group lease originations</w:t>
            </w:r>
          </w:p>
        </w:tc>
        <w:tc>
          <w:tcPr>
            <w:tcW w:w="1816" w:type="dxa"/>
            <w:tcBorders>
              <w:top w:val="nil"/>
              <w:left w:val="nil"/>
              <w:right w:val="nil"/>
            </w:tcBorders>
            <w:shd w:val="clear" w:color="000000" w:fill="auto"/>
            <w:noWrap/>
            <w:vAlign w:val="bottom"/>
          </w:tcPr>
          <w:p w:rsidR="008C4758" w:rsidRPr="00981B7D" w:rsidRDefault="00574E4E" w:rsidP="008C4758">
            <w:pPr>
              <w:spacing w:line="240" w:lineRule="auto"/>
              <w:jc w:val="right"/>
              <w:rPr>
                <w:rFonts w:eastAsia="Times New Roman" w:cs="Arial"/>
                <w:color w:val="000000"/>
                <w:szCs w:val="19"/>
              </w:rPr>
            </w:pPr>
            <w:r>
              <w:rPr>
                <w:color w:val="000000"/>
              </w:rPr>
              <w:t>233,045</w:t>
            </w:r>
          </w:p>
        </w:tc>
        <w:tc>
          <w:tcPr>
            <w:tcW w:w="1816" w:type="dxa"/>
            <w:tcBorders>
              <w:top w:val="nil"/>
              <w:left w:val="nil"/>
              <w:right w:val="nil"/>
            </w:tcBorders>
            <w:shd w:val="clear" w:color="000000" w:fill="auto"/>
            <w:noWrap/>
            <w:vAlign w:val="bottom"/>
          </w:tcPr>
          <w:p w:rsidR="008C4758" w:rsidRPr="00981B7D" w:rsidRDefault="00574E4E" w:rsidP="008C4758">
            <w:pPr>
              <w:spacing w:line="240" w:lineRule="auto"/>
              <w:jc w:val="right"/>
              <w:rPr>
                <w:rFonts w:eastAsia="Times New Roman" w:cs="Arial"/>
                <w:color w:val="000000"/>
                <w:szCs w:val="19"/>
              </w:rPr>
            </w:pPr>
            <w:r>
              <w:rPr>
                <w:color w:val="000000"/>
              </w:rPr>
              <w:t>244,790</w:t>
            </w:r>
          </w:p>
        </w:tc>
        <w:tc>
          <w:tcPr>
            <w:tcW w:w="1816" w:type="dxa"/>
            <w:tcBorders>
              <w:top w:val="nil"/>
              <w:left w:val="nil"/>
              <w:right w:val="nil"/>
            </w:tcBorders>
            <w:shd w:val="clear" w:color="000000" w:fill="auto"/>
            <w:noWrap/>
            <w:vAlign w:val="bottom"/>
          </w:tcPr>
          <w:p w:rsidR="008C4758" w:rsidRPr="00981B7D" w:rsidRDefault="00574E4E" w:rsidP="008C4758">
            <w:pPr>
              <w:spacing w:line="240" w:lineRule="auto"/>
              <w:jc w:val="right"/>
              <w:rPr>
                <w:rFonts w:eastAsia="Times New Roman" w:cs="Arial"/>
                <w:color w:val="000000"/>
                <w:szCs w:val="19"/>
              </w:rPr>
            </w:pPr>
            <w:r>
              <w:rPr>
                <w:color w:val="000000"/>
              </w:rPr>
              <w:t>1,004,494</w:t>
            </w:r>
          </w:p>
        </w:tc>
      </w:tr>
      <w:tr w:rsidR="008C4758" w:rsidRPr="00981B7D" w:rsidTr="008C4758">
        <w:trPr>
          <w:trHeight w:val="240"/>
        </w:trPr>
        <w:tc>
          <w:tcPr>
            <w:tcW w:w="3828" w:type="dxa"/>
            <w:tcBorders>
              <w:top w:val="nil"/>
              <w:left w:val="nil"/>
              <w:right w:val="nil"/>
            </w:tcBorders>
            <w:shd w:val="clear" w:color="auto" w:fill="EEECE5" w:themeFill="background1" w:themeFillTint="66"/>
            <w:noWrap/>
            <w:vAlign w:val="bottom"/>
            <w:hideMark/>
          </w:tcPr>
          <w:p w:rsidR="008C4758" w:rsidRPr="00981B7D" w:rsidRDefault="008C4758" w:rsidP="008C4758">
            <w:pPr>
              <w:spacing w:line="240" w:lineRule="auto"/>
              <w:jc w:val="left"/>
              <w:rPr>
                <w:rFonts w:eastAsia="Times New Roman" w:cs="Arial"/>
                <w:color w:val="000000"/>
                <w:szCs w:val="19"/>
              </w:rPr>
            </w:pPr>
            <w:r>
              <w:rPr>
                <w:color w:val="000000"/>
              </w:rPr>
              <w:t>by region:</w:t>
            </w:r>
          </w:p>
        </w:tc>
        <w:tc>
          <w:tcPr>
            <w:tcW w:w="1816" w:type="dxa"/>
            <w:tcBorders>
              <w:top w:val="nil"/>
              <w:left w:val="nil"/>
              <w:right w:val="nil"/>
            </w:tcBorders>
            <w:shd w:val="clear" w:color="auto" w:fill="EEECE5" w:themeFill="background1" w:themeFillTint="66"/>
            <w:noWrap/>
            <w:vAlign w:val="bottom"/>
          </w:tcPr>
          <w:p w:rsidR="008C4758" w:rsidRPr="00981B7D" w:rsidRDefault="008C4758" w:rsidP="008C4758">
            <w:pPr>
              <w:spacing w:line="240" w:lineRule="auto"/>
              <w:jc w:val="left"/>
              <w:rPr>
                <w:rFonts w:eastAsia="Times New Roman" w:cs="Arial"/>
                <w:color w:val="000000"/>
                <w:szCs w:val="19"/>
              </w:rPr>
            </w:pPr>
          </w:p>
        </w:tc>
        <w:tc>
          <w:tcPr>
            <w:tcW w:w="1816" w:type="dxa"/>
            <w:tcBorders>
              <w:top w:val="nil"/>
              <w:left w:val="nil"/>
              <w:right w:val="nil"/>
            </w:tcBorders>
            <w:shd w:val="clear" w:color="auto" w:fill="EEECE5" w:themeFill="background1" w:themeFillTint="66"/>
            <w:noWrap/>
            <w:vAlign w:val="bottom"/>
          </w:tcPr>
          <w:p w:rsidR="008C4758" w:rsidRPr="00981B7D" w:rsidRDefault="008C4758" w:rsidP="008C4758">
            <w:pPr>
              <w:spacing w:line="240" w:lineRule="auto"/>
              <w:jc w:val="left"/>
              <w:rPr>
                <w:rFonts w:eastAsia="Times New Roman" w:cs="Arial"/>
                <w:color w:val="000000"/>
                <w:szCs w:val="19"/>
              </w:rPr>
            </w:pPr>
          </w:p>
        </w:tc>
        <w:tc>
          <w:tcPr>
            <w:tcW w:w="1816" w:type="dxa"/>
            <w:tcBorders>
              <w:top w:val="nil"/>
              <w:left w:val="nil"/>
              <w:right w:val="nil"/>
            </w:tcBorders>
            <w:shd w:val="clear" w:color="auto" w:fill="EEECE5" w:themeFill="background1" w:themeFillTint="66"/>
            <w:noWrap/>
            <w:vAlign w:val="bottom"/>
          </w:tcPr>
          <w:p w:rsidR="008C4758" w:rsidRPr="00981B7D" w:rsidRDefault="008C4758" w:rsidP="008C4758">
            <w:pPr>
              <w:spacing w:line="240" w:lineRule="auto"/>
              <w:jc w:val="left"/>
              <w:rPr>
                <w:rFonts w:eastAsia="Times New Roman" w:cs="Arial"/>
                <w:color w:val="000000"/>
                <w:szCs w:val="19"/>
              </w:rPr>
            </w:pPr>
          </w:p>
        </w:tc>
      </w:tr>
      <w:tr w:rsidR="008C4758" w:rsidRPr="008C4758" w:rsidTr="008C4758">
        <w:trPr>
          <w:trHeight w:val="240"/>
        </w:trPr>
        <w:tc>
          <w:tcPr>
            <w:tcW w:w="3828" w:type="dxa"/>
            <w:tcBorders>
              <w:top w:val="nil"/>
              <w:left w:val="nil"/>
              <w:bottom w:val="nil"/>
              <w:right w:val="nil"/>
            </w:tcBorders>
            <w:shd w:val="clear" w:color="auto" w:fill="EEECE5" w:themeFill="background1" w:themeFillTint="66"/>
            <w:noWrap/>
            <w:vAlign w:val="bottom"/>
            <w:hideMark/>
          </w:tcPr>
          <w:p w:rsidR="008C4758" w:rsidRPr="00BA407D" w:rsidRDefault="008C4758" w:rsidP="008C4758">
            <w:pPr>
              <w:spacing w:line="240" w:lineRule="auto"/>
              <w:jc w:val="left"/>
              <w:rPr>
                <w:rFonts w:eastAsia="Times New Roman" w:cs="Arial"/>
                <w:color w:val="000000"/>
                <w:szCs w:val="19"/>
              </w:rPr>
            </w:pPr>
            <w:r>
              <w:rPr>
                <w:color w:val="000000"/>
              </w:rPr>
              <w:t>Central Europe (D, A, CH, SLO)</w:t>
            </w:r>
          </w:p>
        </w:tc>
        <w:tc>
          <w:tcPr>
            <w:tcW w:w="1816" w:type="dxa"/>
            <w:tcBorders>
              <w:top w:val="nil"/>
              <w:left w:val="nil"/>
              <w:bottom w:val="nil"/>
              <w:right w:val="nil"/>
            </w:tcBorders>
            <w:shd w:val="clear" w:color="auto" w:fill="EEECE5" w:themeFill="background1" w:themeFillTint="66"/>
            <w:noWrap/>
            <w:vAlign w:val="bottom"/>
          </w:tcPr>
          <w:p w:rsidR="008C4758" w:rsidRPr="008C4758" w:rsidRDefault="00A14B5F" w:rsidP="008C4758">
            <w:pPr>
              <w:spacing w:line="240" w:lineRule="auto"/>
              <w:jc w:val="right"/>
              <w:rPr>
                <w:rFonts w:eastAsia="Times New Roman" w:cs="Arial"/>
                <w:color w:val="000000"/>
                <w:szCs w:val="19"/>
              </w:rPr>
            </w:pPr>
            <w:r>
              <w:rPr>
                <w:color w:val="000000"/>
              </w:rPr>
              <w:t>120,777</w:t>
            </w:r>
          </w:p>
        </w:tc>
        <w:tc>
          <w:tcPr>
            <w:tcW w:w="1816" w:type="dxa"/>
            <w:tcBorders>
              <w:top w:val="nil"/>
              <w:left w:val="nil"/>
              <w:bottom w:val="nil"/>
              <w:right w:val="nil"/>
            </w:tcBorders>
            <w:shd w:val="clear" w:color="auto" w:fill="EEECE5" w:themeFill="background1" w:themeFillTint="66"/>
            <w:noWrap/>
            <w:vAlign w:val="bottom"/>
          </w:tcPr>
          <w:p w:rsidR="008C4758" w:rsidRPr="008C4758" w:rsidRDefault="00443733" w:rsidP="008C4758">
            <w:pPr>
              <w:spacing w:line="240" w:lineRule="auto"/>
              <w:jc w:val="right"/>
              <w:rPr>
                <w:rFonts w:eastAsia="Times New Roman" w:cs="Arial"/>
                <w:color w:val="000000"/>
                <w:szCs w:val="19"/>
              </w:rPr>
            </w:pPr>
            <w:r>
              <w:rPr>
                <w:color w:val="000000"/>
              </w:rPr>
              <w:t>125,437</w:t>
            </w:r>
          </w:p>
        </w:tc>
        <w:tc>
          <w:tcPr>
            <w:tcW w:w="1816" w:type="dxa"/>
            <w:tcBorders>
              <w:top w:val="nil"/>
              <w:left w:val="nil"/>
              <w:bottom w:val="nil"/>
              <w:right w:val="nil"/>
            </w:tcBorders>
            <w:shd w:val="clear" w:color="auto" w:fill="EEECE5" w:themeFill="background1" w:themeFillTint="66"/>
            <w:noWrap/>
            <w:vAlign w:val="bottom"/>
          </w:tcPr>
          <w:p w:rsidR="008C4758" w:rsidRPr="008C4758" w:rsidRDefault="00574E4E" w:rsidP="008C4758">
            <w:pPr>
              <w:spacing w:line="240" w:lineRule="auto"/>
              <w:jc w:val="right"/>
              <w:rPr>
                <w:rFonts w:eastAsia="Times New Roman" w:cs="Arial"/>
                <w:color w:val="000000"/>
                <w:szCs w:val="19"/>
              </w:rPr>
            </w:pPr>
            <w:r>
              <w:rPr>
                <w:color w:val="000000"/>
              </w:rPr>
              <w:t>517,689</w:t>
            </w:r>
          </w:p>
        </w:tc>
      </w:tr>
      <w:tr w:rsidR="008C4758" w:rsidRPr="00981B7D" w:rsidTr="008C4758">
        <w:trPr>
          <w:trHeight w:val="240"/>
        </w:trPr>
        <w:tc>
          <w:tcPr>
            <w:tcW w:w="3828" w:type="dxa"/>
            <w:tcBorders>
              <w:top w:val="nil"/>
              <w:left w:val="nil"/>
              <w:right w:val="nil"/>
            </w:tcBorders>
            <w:shd w:val="clear" w:color="auto" w:fill="EEECE5" w:themeFill="background1" w:themeFillTint="66"/>
            <w:noWrap/>
            <w:vAlign w:val="bottom"/>
            <w:hideMark/>
          </w:tcPr>
          <w:p w:rsidR="008C4758" w:rsidRPr="00981B7D" w:rsidRDefault="008C4758" w:rsidP="008C4758">
            <w:pPr>
              <w:spacing w:line="240" w:lineRule="auto"/>
              <w:jc w:val="left"/>
              <w:rPr>
                <w:rFonts w:eastAsia="Times New Roman" w:cs="Arial"/>
                <w:color w:val="000000"/>
                <w:szCs w:val="19"/>
              </w:rPr>
            </w:pPr>
            <w:r>
              <w:rPr>
                <w:color w:val="000000"/>
              </w:rPr>
              <w:t xml:space="preserve">Western Europe </w:t>
            </w:r>
          </w:p>
        </w:tc>
        <w:tc>
          <w:tcPr>
            <w:tcW w:w="1816" w:type="dxa"/>
            <w:tcBorders>
              <w:top w:val="nil"/>
              <w:left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39,598</w:t>
            </w:r>
          </w:p>
        </w:tc>
        <w:tc>
          <w:tcPr>
            <w:tcW w:w="1816" w:type="dxa"/>
            <w:tcBorders>
              <w:top w:val="nil"/>
              <w:left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45,098</w:t>
            </w:r>
          </w:p>
        </w:tc>
        <w:tc>
          <w:tcPr>
            <w:tcW w:w="1816" w:type="dxa"/>
            <w:tcBorders>
              <w:top w:val="nil"/>
              <w:left w:val="nil"/>
              <w:right w:val="nil"/>
            </w:tcBorders>
            <w:shd w:val="clear" w:color="auto" w:fill="EEECE5" w:themeFill="background1" w:themeFillTint="66"/>
            <w:noWrap/>
            <w:vAlign w:val="bottom"/>
          </w:tcPr>
          <w:p w:rsidR="008C4758" w:rsidRPr="00981B7D" w:rsidRDefault="00261633" w:rsidP="008C4758">
            <w:pPr>
              <w:spacing w:line="240" w:lineRule="auto"/>
              <w:jc w:val="right"/>
              <w:rPr>
                <w:rFonts w:eastAsia="Times New Roman" w:cs="Arial"/>
                <w:color w:val="000000"/>
                <w:szCs w:val="19"/>
              </w:rPr>
            </w:pPr>
            <w:r>
              <w:rPr>
                <w:color w:val="000000"/>
              </w:rPr>
              <w:t>155,714</w:t>
            </w:r>
          </w:p>
        </w:tc>
      </w:tr>
      <w:tr w:rsidR="008C4758" w:rsidRPr="00981B7D" w:rsidTr="008C4758">
        <w:trPr>
          <w:trHeight w:val="240"/>
        </w:trPr>
        <w:tc>
          <w:tcPr>
            <w:tcW w:w="3828" w:type="dxa"/>
            <w:tcBorders>
              <w:top w:val="nil"/>
              <w:left w:val="nil"/>
              <w:bottom w:val="nil"/>
              <w:right w:val="nil"/>
            </w:tcBorders>
            <w:shd w:val="clear" w:color="auto" w:fill="EEECE5" w:themeFill="background1" w:themeFillTint="66"/>
            <w:noWrap/>
            <w:vAlign w:val="bottom"/>
            <w:hideMark/>
          </w:tcPr>
          <w:p w:rsidR="008C4758" w:rsidRPr="00981B7D" w:rsidRDefault="008C4758" w:rsidP="008C4758">
            <w:pPr>
              <w:spacing w:line="240" w:lineRule="auto"/>
              <w:jc w:val="left"/>
              <w:rPr>
                <w:rFonts w:eastAsia="Times New Roman" w:cs="Arial"/>
                <w:color w:val="000000"/>
                <w:szCs w:val="19"/>
              </w:rPr>
            </w:pPr>
            <w:r>
              <w:rPr>
                <w:color w:val="000000"/>
              </w:rPr>
              <w:t>Southern Europe</w:t>
            </w:r>
          </w:p>
        </w:tc>
        <w:tc>
          <w:tcPr>
            <w:tcW w:w="1816" w:type="dxa"/>
            <w:tcBorders>
              <w:top w:val="nil"/>
              <w:left w:val="nil"/>
              <w:bottom w:val="nil"/>
              <w:right w:val="nil"/>
            </w:tcBorders>
            <w:shd w:val="clear" w:color="auto" w:fill="EEECE5" w:themeFill="background1" w:themeFillTint="66"/>
            <w:noWrap/>
            <w:vAlign w:val="bottom"/>
          </w:tcPr>
          <w:p w:rsidR="008C4758" w:rsidRPr="00981B7D" w:rsidRDefault="00443733" w:rsidP="00443733">
            <w:pPr>
              <w:spacing w:line="240" w:lineRule="auto"/>
              <w:jc w:val="right"/>
              <w:rPr>
                <w:rFonts w:eastAsia="Times New Roman" w:cs="Arial"/>
                <w:color w:val="000000"/>
                <w:szCs w:val="19"/>
              </w:rPr>
            </w:pPr>
            <w:r>
              <w:rPr>
                <w:color w:val="000000"/>
              </w:rPr>
              <w:t>29,724</w:t>
            </w:r>
          </w:p>
        </w:tc>
        <w:tc>
          <w:tcPr>
            <w:tcW w:w="1816" w:type="dxa"/>
            <w:tcBorders>
              <w:top w:val="nil"/>
              <w:left w:val="nil"/>
              <w:bottom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23,973</w:t>
            </w:r>
          </w:p>
        </w:tc>
        <w:tc>
          <w:tcPr>
            <w:tcW w:w="1816" w:type="dxa"/>
            <w:tcBorders>
              <w:top w:val="nil"/>
              <w:left w:val="nil"/>
              <w:bottom w:val="nil"/>
              <w:right w:val="nil"/>
            </w:tcBorders>
            <w:shd w:val="clear" w:color="auto" w:fill="EEECE5" w:themeFill="background1" w:themeFillTint="66"/>
            <w:noWrap/>
            <w:vAlign w:val="bottom"/>
          </w:tcPr>
          <w:p w:rsidR="008C4758" w:rsidRPr="00981B7D" w:rsidRDefault="00443733" w:rsidP="00443733">
            <w:pPr>
              <w:spacing w:line="240" w:lineRule="auto"/>
              <w:jc w:val="right"/>
              <w:rPr>
                <w:rFonts w:eastAsia="Times New Roman" w:cs="Arial"/>
                <w:color w:val="000000"/>
                <w:szCs w:val="19"/>
              </w:rPr>
            </w:pPr>
            <w:r>
              <w:rPr>
                <w:color w:val="000000"/>
              </w:rPr>
              <w:t>115,785</w:t>
            </w:r>
          </w:p>
        </w:tc>
      </w:tr>
      <w:tr w:rsidR="008C4758" w:rsidRPr="00981B7D" w:rsidTr="008C4758">
        <w:trPr>
          <w:trHeight w:val="240"/>
        </w:trPr>
        <w:tc>
          <w:tcPr>
            <w:tcW w:w="3828" w:type="dxa"/>
            <w:tcBorders>
              <w:top w:val="nil"/>
              <w:left w:val="nil"/>
              <w:right w:val="nil"/>
            </w:tcBorders>
            <w:shd w:val="clear" w:color="auto" w:fill="EEECE5" w:themeFill="background1" w:themeFillTint="66"/>
            <w:noWrap/>
            <w:vAlign w:val="bottom"/>
            <w:hideMark/>
          </w:tcPr>
          <w:p w:rsidR="008C4758" w:rsidRPr="00981B7D" w:rsidRDefault="008C4758" w:rsidP="008C4758">
            <w:pPr>
              <w:spacing w:line="240" w:lineRule="auto"/>
              <w:jc w:val="left"/>
              <w:rPr>
                <w:rFonts w:eastAsia="Times New Roman" w:cs="Arial"/>
                <w:color w:val="000000"/>
                <w:szCs w:val="19"/>
              </w:rPr>
            </w:pPr>
            <w:r>
              <w:rPr>
                <w:color w:val="000000"/>
              </w:rPr>
              <w:t>Eastern Europe</w:t>
            </w:r>
          </w:p>
        </w:tc>
        <w:tc>
          <w:tcPr>
            <w:tcW w:w="1816" w:type="dxa"/>
            <w:tcBorders>
              <w:top w:val="nil"/>
              <w:left w:val="nil"/>
              <w:right w:val="nil"/>
            </w:tcBorders>
            <w:shd w:val="clear" w:color="auto" w:fill="EEECE5" w:themeFill="background1" w:themeFillTint="66"/>
            <w:noWrap/>
            <w:vAlign w:val="bottom"/>
          </w:tcPr>
          <w:p w:rsidR="00443733" w:rsidRPr="00981B7D" w:rsidRDefault="00443733" w:rsidP="00443733">
            <w:pPr>
              <w:spacing w:line="240" w:lineRule="auto"/>
              <w:jc w:val="right"/>
              <w:rPr>
                <w:rFonts w:eastAsia="Times New Roman" w:cs="Arial"/>
                <w:color w:val="000000"/>
                <w:szCs w:val="19"/>
              </w:rPr>
            </w:pPr>
            <w:r>
              <w:rPr>
                <w:color w:val="000000"/>
              </w:rPr>
              <w:t>6,722</w:t>
            </w:r>
          </w:p>
        </w:tc>
        <w:tc>
          <w:tcPr>
            <w:tcW w:w="1816" w:type="dxa"/>
            <w:tcBorders>
              <w:top w:val="nil"/>
              <w:left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3,033</w:t>
            </w:r>
          </w:p>
        </w:tc>
        <w:tc>
          <w:tcPr>
            <w:tcW w:w="1816" w:type="dxa"/>
            <w:tcBorders>
              <w:top w:val="nil"/>
              <w:left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21,177</w:t>
            </w:r>
          </w:p>
        </w:tc>
      </w:tr>
      <w:tr w:rsidR="008C4758" w:rsidRPr="00981B7D" w:rsidTr="008C4758">
        <w:trPr>
          <w:trHeight w:val="240"/>
        </w:trPr>
        <w:tc>
          <w:tcPr>
            <w:tcW w:w="3828" w:type="dxa"/>
            <w:tcBorders>
              <w:top w:val="nil"/>
              <w:left w:val="nil"/>
              <w:bottom w:val="nil"/>
              <w:right w:val="nil"/>
            </w:tcBorders>
            <w:shd w:val="clear" w:color="auto" w:fill="EEECE5" w:themeFill="background1" w:themeFillTint="66"/>
            <w:noWrap/>
            <w:vAlign w:val="bottom"/>
          </w:tcPr>
          <w:p w:rsidR="008C4758" w:rsidRPr="00981B7D" w:rsidRDefault="008C4758" w:rsidP="008C4758">
            <w:pPr>
              <w:spacing w:line="240" w:lineRule="auto"/>
              <w:jc w:val="left"/>
              <w:rPr>
                <w:rFonts w:eastAsia="Times New Roman" w:cs="Arial"/>
                <w:color w:val="000000"/>
                <w:szCs w:val="19"/>
              </w:rPr>
            </w:pPr>
            <w:r>
              <w:rPr>
                <w:color w:val="000000"/>
              </w:rPr>
              <w:t>Northern Europe</w:t>
            </w:r>
          </w:p>
        </w:tc>
        <w:tc>
          <w:tcPr>
            <w:tcW w:w="1816" w:type="dxa"/>
            <w:tcBorders>
              <w:top w:val="nil"/>
              <w:left w:val="nil"/>
              <w:bottom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9,721</w:t>
            </w:r>
          </w:p>
        </w:tc>
        <w:tc>
          <w:tcPr>
            <w:tcW w:w="1816" w:type="dxa"/>
            <w:tcBorders>
              <w:top w:val="nil"/>
              <w:left w:val="nil"/>
              <w:bottom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 -</w:t>
            </w:r>
          </w:p>
        </w:tc>
        <w:tc>
          <w:tcPr>
            <w:tcW w:w="1816" w:type="dxa"/>
            <w:tcBorders>
              <w:top w:val="nil"/>
              <w:left w:val="nil"/>
              <w:bottom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22,711</w:t>
            </w:r>
          </w:p>
        </w:tc>
      </w:tr>
      <w:tr w:rsidR="008C4758" w:rsidRPr="00981B7D" w:rsidTr="008C4758">
        <w:trPr>
          <w:trHeight w:val="240"/>
        </w:trPr>
        <w:tc>
          <w:tcPr>
            <w:tcW w:w="3828" w:type="dxa"/>
            <w:tcBorders>
              <w:top w:val="nil"/>
              <w:left w:val="nil"/>
              <w:bottom w:val="nil"/>
              <w:right w:val="nil"/>
            </w:tcBorders>
            <w:shd w:val="clear" w:color="auto" w:fill="EEECE5" w:themeFill="background1" w:themeFillTint="66"/>
            <w:noWrap/>
            <w:vAlign w:val="bottom"/>
            <w:hideMark/>
          </w:tcPr>
          <w:p w:rsidR="008C4758" w:rsidRPr="00981B7D" w:rsidRDefault="008C4758" w:rsidP="008C4758">
            <w:pPr>
              <w:spacing w:line="240" w:lineRule="auto"/>
              <w:jc w:val="left"/>
              <w:rPr>
                <w:rFonts w:eastAsia="Times New Roman" w:cs="Arial"/>
                <w:color w:val="000000"/>
                <w:szCs w:val="19"/>
              </w:rPr>
            </w:pPr>
            <w:r>
              <w:rPr>
                <w:color w:val="000000"/>
              </w:rPr>
              <w:t>Americas</w:t>
            </w:r>
          </w:p>
        </w:tc>
        <w:tc>
          <w:tcPr>
            <w:tcW w:w="1816" w:type="dxa"/>
            <w:tcBorders>
              <w:top w:val="nil"/>
              <w:left w:val="nil"/>
              <w:bottom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26,503</w:t>
            </w:r>
          </w:p>
        </w:tc>
        <w:tc>
          <w:tcPr>
            <w:tcW w:w="1816" w:type="dxa"/>
            <w:tcBorders>
              <w:top w:val="nil"/>
              <w:left w:val="nil"/>
              <w:bottom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47,249</w:t>
            </w:r>
          </w:p>
        </w:tc>
        <w:tc>
          <w:tcPr>
            <w:tcW w:w="1816" w:type="dxa"/>
            <w:tcBorders>
              <w:top w:val="nil"/>
              <w:left w:val="nil"/>
              <w:bottom w:val="nil"/>
              <w:right w:val="nil"/>
            </w:tcBorders>
            <w:shd w:val="clear" w:color="auto" w:fill="EEECE5" w:themeFill="background1" w:themeFillTint="66"/>
            <w:noWrap/>
            <w:vAlign w:val="bottom"/>
          </w:tcPr>
          <w:p w:rsidR="008C4758" w:rsidRPr="00981B7D" w:rsidRDefault="00443733" w:rsidP="008C4758">
            <w:pPr>
              <w:spacing w:line="240" w:lineRule="auto"/>
              <w:jc w:val="right"/>
              <w:rPr>
                <w:rFonts w:eastAsia="Times New Roman" w:cs="Arial"/>
                <w:color w:val="000000"/>
                <w:szCs w:val="19"/>
              </w:rPr>
            </w:pPr>
            <w:r>
              <w:rPr>
                <w:color w:val="000000"/>
              </w:rPr>
              <w:t>171,418</w:t>
            </w:r>
          </w:p>
        </w:tc>
      </w:tr>
      <w:tr w:rsidR="008C4758" w:rsidRPr="00981B7D" w:rsidTr="008C4758">
        <w:trPr>
          <w:trHeight w:val="240"/>
        </w:trPr>
        <w:tc>
          <w:tcPr>
            <w:tcW w:w="3828" w:type="dxa"/>
            <w:tcBorders>
              <w:top w:val="nil"/>
              <w:left w:val="nil"/>
              <w:bottom w:val="nil"/>
              <w:right w:val="nil"/>
            </w:tcBorders>
            <w:shd w:val="clear" w:color="auto" w:fill="auto"/>
            <w:noWrap/>
            <w:vAlign w:val="bottom"/>
            <w:hideMark/>
          </w:tcPr>
          <w:p w:rsidR="008C4758" w:rsidRPr="00981B7D" w:rsidRDefault="008C4758" w:rsidP="008C4758">
            <w:pPr>
              <w:spacing w:line="240" w:lineRule="auto"/>
              <w:jc w:val="left"/>
              <w:rPr>
                <w:rFonts w:eastAsia="Times New Roman" w:cs="Arial"/>
                <w:color w:val="000000"/>
                <w:szCs w:val="19"/>
              </w:rPr>
            </w:pPr>
            <w:r>
              <w:rPr>
                <w:color w:val="000000"/>
              </w:rPr>
              <w:t>national (Germany)</w:t>
            </w:r>
          </w:p>
        </w:tc>
        <w:tc>
          <w:tcPr>
            <w:tcW w:w="1816" w:type="dxa"/>
            <w:tcBorders>
              <w:top w:val="nil"/>
              <w:left w:val="nil"/>
              <w:bottom w:val="nil"/>
              <w:right w:val="nil"/>
            </w:tcBorders>
            <w:shd w:val="clear" w:color="auto" w:fill="auto"/>
            <w:noWrap/>
            <w:vAlign w:val="bottom"/>
          </w:tcPr>
          <w:p w:rsidR="008C4758" w:rsidRPr="00981B7D" w:rsidRDefault="00443733" w:rsidP="008C4758">
            <w:pPr>
              <w:spacing w:line="240" w:lineRule="auto"/>
              <w:jc w:val="right"/>
              <w:rPr>
                <w:rFonts w:eastAsia="Times New Roman" w:cs="Arial"/>
                <w:color w:val="000000"/>
                <w:szCs w:val="19"/>
              </w:rPr>
            </w:pPr>
            <w:r>
              <w:rPr>
                <w:color w:val="000000"/>
              </w:rPr>
              <w:t>113,310</w:t>
            </w:r>
          </w:p>
        </w:tc>
        <w:tc>
          <w:tcPr>
            <w:tcW w:w="1816" w:type="dxa"/>
            <w:tcBorders>
              <w:top w:val="nil"/>
              <w:left w:val="nil"/>
              <w:bottom w:val="nil"/>
              <w:right w:val="nil"/>
            </w:tcBorders>
            <w:shd w:val="clear" w:color="auto" w:fill="auto"/>
            <w:noWrap/>
            <w:vAlign w:val="bottom"/>
          </w:tcPr>
          <w:p w:rsidR="008C4758" w:rsidRPr="00981B7D" w:rsidRDefault="00443733" w:rsidP="008C4758">
            <w:pPr>
              <w:spacing w:line="240" w:lineRule="auto"/>
              <w:jc w:val="right"/>
              <w:rPr>
                <w:rFonts w:eastAsia="Times New Roman" w:cs="Arial"/>
                <w:color w:val="000000"/>
                <w:szCs w:val="19"/>
              </w:rPr>
            </w:pPr>
            <w:r>
              <w:rPr>
                <w:color w:val="000000"/>
              </w:rPr>
              <w:t>117,412</w:t>
            </w:r>
          </w:p>
        </w:tc>
        <w:tc>
          <w:tcPr>
            <w:tcW w:w="1816" w:type="dxa"/>
            <w:tcBorders>
              <w:top w:val="nil"/>
              <w:left w:val="nil"/>
              <w:bottom w:val="nil"/>
              <w:right w:val="nil"/>
            </w:tcBorders>
            <w:shd w:val="clear" w:color="auto" w:fill="auto"/>
            <w:noWrap/>
            <w:vAlign w:val="bottom"/>
          </w:tcPr>
          <w:p w:rsidR="008C4758" w:rsidRPr="00981B7D" w:rsidRDefault="00443733" w:rsidP="008C4758">
            <w:pPr>
              <w:spacing w:line="240" w:lineRule="auto"/>
              <w:jc w:val="right"/>
              <w:rPr>
                <w:rFonts w:eastAsia="Times New Roman" w:cs="Arial"/>
                <w:color w:val="000000"/>
                <w:szCs w:val="19"/>
              </w:rPr>
            </w:pPr>
            <w:r>
              <w:rPr>
                <w:color w:val="000000"/>
              </w:rPr>
              <w:t>491,149</w:t>
            </w:r>
          </w:p>
        </w:tc>
      </w:tr>
      <w:tr w:rsidR="008C4758" w:rsidRPr="00981B7D" w:rsidTr="008C4758">
        <w:trPr>
          <w:trHeight w:val="240"/>
        </w:trPr>
        <w:tc>
          <w:tcPr>
            <w:tcW w:w="3828" w:type="dxa"/>
            <w:tcBorders>
              <w:top w:val="nil"/>
              <w:left w:val="nil"/>
              <w:bottom w:val="nil"/>
              <w:right w:val="nil"/>
            </w:tcBorders>
            <w:shd w:val="clear" w:color="auto" w:fill="auto"/>
            <w:noWrap/>
            <w:vAlign w:val="bottom"/>
            <w:hideMark/>
          </w:tcPr>
          <w:p w:rsidR="008C4758" w:rsidRPr="00981B7D" w:rsidRDefault="008C4758" w:rsidP="008C4758">
            <w:pPr>
              <w:spacing w:line="240" w:lineRule="auto"/>
              <w:jc w:val="left"/>
              <w:rPr>
                <w:rFonts w:eastAsia="Times New Roman" w:cs="Arial"/>
                <w:color w:val="000000"/>
                <w:szCs w:val="19"/>
              </w:rPr>
            </w:pPr>
            <w:r>
              <w:rPr>
                <w:color w:val="000000"/>
              </w:rPr>
              <w:t>International</w:t>
            </w:r>
          </w:p>
        </w:tc>
        <w:tc>
          <w:tcPr>
            <w:tcW w:w="1816" w:type="dxa"/>
            <w:tcBorders>
              <w:top w:val="nil"/>
              <w:left w:val="nil"/>
              <w:bottom w:val="nil"/>
              <w:right w:val="nil"/>
            </w:tcBorders>
            <w:shd w:val="clear" w:color="auto" w:fill="auto"/>
            <w:noWrap/>
            <w:vAlign w:val="bottom"/>
          </w:tcPr>
          <w:p w:rsidR="008C4758" w:rsidRPr="00981B7D" w:rsidRDefault="00443733" w:rsidP="008C4758">
            <w:pPr>
              <w:spacing w:line="240" w:lineRule="auto"/>
              <w:jc w:val="right"/>
              <w:rPr>
                <w:rFonts w:eastAsia="Times New Roman" w:cs="Arial"/>
                <w:color w:val="000000"/>
                <w:szCs w:val="19"/>
              </w:rPr>
            </w:pPr>
            <w:r>
              <w:rPr>
                <w:color w:val="000000"/>
              </w:rPr>
              <w:t>119,735</w:t>
            </w:r>
          </w:p>
        </w:tc>
        <w:tc>
          <w:tcPr>
            <w:tcW w:w="1816" w:type="dxa"/>
            <w:tcBorders>
              <w:top w:val="nil"/>
              <w:left w:val="nil"/>
              <w:bottom w:val="nil"/>
              <w:right w:val="nil"/>
            </w:tcBorders>
            <w:shd w:val="clear" w:color="auto" w:fill="auto"/>
            <w:noWrap/>
            <w:vAlign w:val="bottom"/>
          </w:tcPr>
          <w:p w:rsidR="008C4758" w:rsidRPr="00981B7D" w:rsidRDefault="00443733" w:rsidP="008C4758">
            <w:pPr>
              <w:spacing w:line="240" w:lineRule="auto"/>
              <w:jc w:val="right"/>
              <w:rPr>
                <w:rFonts w:eastAsia="Times New Roman" w:cs="Arial"/>
                <w:color w:val="000000"/>
                <w:szCs w:val="19"/>
              </w:rPr>
            </w:pPr>
            <w:r>
              <w:rPr>
                <w:color w:val="000000"/>
              </w:rPr>
              <w:t>127,378</w:t>
            </w:r>
          </w:p>
        </w:tc>
        <w:tc>
          <w:tcPr>
            <w:tcW w:w="1816" w:type="dxa"/>
            <w:tcBorders>
              <w:top w:val="nil"/>
              <w:left w:val="nil"/>
              <w:bottom w:val="nil"/>
              <w:right w:val="nil"/>
            </w:tcBorders>
            <w:shd w:val="clear" w:color="auto" w:fill="auto"/>
            <w:noWrap/>
            <w:vAlign w:val="bottom"/>
          </w:tcPr>
          <w:p w:rsidR="008C4758" w:rsidRPr="00981B7D" w:rsidRDefault="00443733" w:rsidP="008C4758">
            <w:pPr>
              <w:spacing w:line="240" w:lineRule="auto"/>
              <w:jc w:val="right"/>
              <w:rPr>
                <w:rFonts w:eastAsia="Times New Roman" w:cs="Arial"/>
                <w:color w:val="000000"/>
                <w:szCs w:val="19"/>
              </w:rPr>
            </w:pPr>
            <w:r>
              <w:rPr>
                <w:color w:val="000000"/>
              </w:rPr>
              <w:t>513,345</w:t>
            </w:r>
          </w:p>
        </w:tc>
      </w:tr>
      <w:tr w:rsidR="008C4758" w:rsidRPr="00981B7D" w:rsidTr="008C4758">
        <w:trPr>
          <w:trHeight w:val="240"/>
        </w:trPr>
        <w:tc>
          <w:tcPr>
            <w:tcW w:w="3828" w:type="dxa"/>
            <w:tcBorders>
              <w:top w:val="nil"/>
              <w:left w:val="nil"/>
              <w:right w:val="nil"/>
            </w:tcBorders>
            <w:shd w:val="clear" w:color="auto" w:fill="E6E3D9" w:themeFill="background1" w:themeFillTint="99"/>
            <w:noWrap/>
            <w:vAlign w:val="bottom"/>
            <w:hideMark/>
          </w:tcPr>
          <w:p w:rsidR="008C4758" w:rsidRPr="00981B7D" w:rsidRDefault="008C4758" w:rsidP="008C4758">
            <w:pPr>
              <w:spacing w:line="240" w:lineRule="auto"/>
              <w:jc w:val="left"/>
              <w:rPr>
                <w:rFonts w:eastAsia="Times New Roman" w:cs="Arial"/>
                <w:color w:val="000000"/>
                <w:szCs w:val="19"/>
              </w:rPr>
            </w:pPr>
            <w:r>
              <w:rPr>
                <w:color w:val="000000"/>
              </w:rPr>
              <w:t>Lease originations with new customers</w:t>
            </w:r>
          </w:p>
        </w:tc>
        <w:tc>
          <w:tcPr>
            <w:tcW w:w="1816" w:type="dxa"/>
            <w:tcBorders>
              <w:top w:val="nil"/>
              <w:left w:val="nil"/>
              <w:right w:val="nil"/>
            </w:tcBorders>
            <w:shd w:val="clear" w:color="auto" w:fill="E6E3D9" w:themeFill="background1" w:themeFillTint="99"/>
            <w:noWrap/>
            <w:vAlign w:val="bottom"/>
          </w:tcPr>
          <w:p w:rsidR="008C4758" w:rsidRPr="00981B7D" w:rsidRDefault="00443733" w:rsidP="008C4758">
            <w:pPr>
              <w:spacing w:line="240" w:lineRule="auto"/>
              <w:jc w:val="right"/>
              <w:rPr>
                <w:rFonts w:eastAsia="Times New Roman" w:cs="Arial"/>
                <w:color w:val="000000"/>
                <w:szCs w:val="19"/>
              </w:rPr>
            </w:pPr>
            <w:r>
              <w:rPr>
                <w:color w:val="000000"/>
              </w:rPr>
              <w:t>37,624</w:t>
            </w:r>
          </w:p>
        </w:tc>
        <w:tc>
          <w:tcPr>
            <w:tcW w:w="1816" w:type="dxa"/>
            <w:tcBorders>
              <w:top w:val="nil"/>
              <w:left w:val="nil"/>
              <w:right w:val="nil"/>
            </w:tcBorders>
            <w:shd w:val="clear" w:color="auto" w:fill="E6E3D9" w:themeFill="background1" w:themeFillTint="99"/>
            <w:noWrap/>
            <w:vAlign w:val="bottom"/>
          </w:tcPr>
          <w:p w:rsidR="008C4758" w:rsidRPr="00981B7D" w:rsidRDefault="00443733" w:rsidP="008C4758">
            <w:pPr>
              <w:spacing w:line="240" w:lineRule="auto"/>
              <w:jc w:val="right"/>
              <w:rPr>
                <w:rFonts w:eastAsia="Times New Roman" w:cs="Arial"/>
                <w:color w:val="000000"/>
                <w:szCs w:val="19"/>
              </w:rPr>
            </w:pPr>
            <w:r>
              <w:rPr>
                <w:color w:val="000000"/>
              </w:rPr>
              <w:t>55,987</w:t>
            </w:r>
          </w:p>
        </w:tc>
        <w:tc>
          <w:tcPr>
            <w:tcW w:w="1816" w:type="dxa"/>
            <w:tcBorders>
              <w:top w:val="nil"/>
              <w:left w:val="nil"/>
              <w:right w:val="nil"/>
            </w:tcBorders>
            <w:shd w:val="clear" w:color="auto" w:fill="E6E3D9" w:themeFill="background1" w:themeFillTint="99"/>
            <w:noWrap/>
            <w:vAlign w:val="bottom"/>
          </w:tcPr>
          <w:p w:rsidR="008C4758" w:rsidRPr="00981B7D" w:rsidRDefault="00443733" w:rsidP="008C4758">
            <w:pPr>
              <w:spacing w:line="240" w:lineRule="auto"/>
              <w:jc w:val="right"/>
              <w:rPr>
                <w:rFonts w:eastAsia="Times New Roman" w:cs="Arial"/>
                <w:color w:val="000000"/>
                <w:szCs w:val="19"/>
              </w:rPr>
            </w:pPr>
            <w:r>
              <w:rPr>
                <w:color w:val="000000"/>
              </w:rPr>
              <w:t>299,243</w:t>
            </w:r>
          </w:p>
        </w:tc>
      </w:tr>
      <w:tr w:rsidR="008C4758" w:rsidRPr="00981B7D" w:rsidTr="008C4758">
        <w:trPr>
          <w:trHeight w:val="240"/>
        </w:trPr>
        <w:tc>
          <w:tcPr>
            <w:tcW w:w="3828" w:type="dxa"/>
            <w:tcBorders>
              <w:top w:val="nil"/>
              <w:left w:val="nil"/>
              <w:bottom w:val="nil"/>
              <w:right w:val="nil"/>
            </w:tcBorders>
            <w:shd w:val="clear" w:color="000000" w:fill="auto"/>
            <w:noWrap/>
            <w:vAlign w:val="bottom"/>
            <w:hideMark/>
          </w:tcPr>
          <w:p w:rsidR="008C4758" w:rsidRPr="00981B7D" w:rsidRDefault="008C4758" w:rsidP="008C4758">
            <w:pPr>
              <w:spacing w:line="240" w:lineRule="auto"/>
              <w:jc w:val="left"/>
              <w:rPr>
                <w:rFonts w:eastAsia="Times New Roman" w:cs="Arial"/>
                <w:color w:val="000000"/>
                <w:szCs w:val="19"/>
              </w:rPr>
            </w:pPr>
            <w:r>
              <w:rPr>
                <w:color w:val="000000"/>
              </w:rPr>
              <w:t>Group gross profit* / contribution margin</w:t>
            </w:r>
          </w:p>
        </w:tc>
        <w:tc>
          <w:tcPr>
            <w:tcW w:w="1816" w:type="dxa"/>
            <w:tcBorders>
              <w:top w:val="nil"/>
              <w:left w:val="nil"/>
              <w:bottom w:val="nil"/>
              <w:right w:val="nil"/>
            </w:tcBorders>
            <w:shd w:val="clear" w:color="000000" w:fill="auto"/>
            <w:noWrap/>
            <w:vAlign w:val="bottom"/>
          </w:tcPr>
          <w:p w:rsidR="008C4758" w:rsidRPr="00981B7D" w:rsidRDefault="00443733" w:rsidP="008C4758">
            <w:pPr>
              <w:spacing w:line="240" w:lineRule="auto"/>
              <w:jc w:val="right"/>
              <w:rPr>
                <w:rFonts w:eastAsia="Times New Roman" w:cs="Arial"/>
                <w:color w:val="000000"/>
                <w:szCs w:val="19"/>
              </w:rPr>
            </w:pPr>
            <w:r>
              <w:rPr>
                <w:color w:val="000000"/>
              </w:rPr>
              <w:t>32,268</w:t>
            </w:r>
          </w:p>
        </w:tc>
        <w:tc>
          <w:tcPr>
            <w:tcW w:w="1816" w:type="dxa"/>
            <w:tcBorders>
              <w:top w:val="nil"/>
              <w:left w:val="nil"/>
              <w:bottom w:val="nil"/>
              <w:right w:val="nil"/>
            </w:tcBorders>
            <w:shd w:val="clear" w:color="000000" w:fill="auto"/>
            <w:noWrap/>
            <w:vAlign w:val="bottom"/>
          </w:tcPr>
          <w:p w:rsidR="008C4758" w:rsidRPr="00981B7D" w:rsidRDefault="00443733" w:rsidP="008C4758">
            <w:pPr>
              <w:spacing w:line="240" w:lineRule="auto"/>
              <w:jc w:val="right"/>
              <w:rPr>
                <w:rFonts w:eastAsia="Times New Roman" w:cs="Arial"/>
                <w:color w:val="000000"/>
                <w:szCs w:val="19"/>
              </w:rPr>
            </w:pPr>
            <w:r>
              <w:rPr>
                <w:color w:val="000000"/>
              </w:rPr>
              <w:t>26,669</w:t>
            </w:r>
          </w:p>
        </w:tc>
        <w:tc>
          <w:tcPr>
            <w:tcW w:w="1816" w:type="dxa"/>
            <w:tcBorders>
              <w:top w:val="nil"/>
              <w:left w:val="nil"/>
              <w:bottom w:val="nil"/>
              <w:right w:val="nil"/>
            </w:tcBorders>
            <w:shd w:val="clear" w:color="000000" w:fill="auto"/>
            <w:noWrap/>
            <w:vAlign w:val="bottom"/>
          </w:tcPr>
          <w:p w:rsidR="008C4758" w:rsidRPr="00981B7D" w:rsidRDefault="00261633" w:rsidP="008C4758">
            <w:pPr>
              <w:spacing w:line="240" w:lineRule="auto"/>
              <w:jc w:val="right"/>
              <w:rPr>
                <w:rFonts w:eastAsia="Times New Roman" w:cs="Arial"/>
                <w:color w:val="000000"/>
                <w:szCs w:val="19"/>
              </w:rPr>
            </w:pPr>
            <w:r>
              <w:rPr>
                <w:color w:val="000000"/>
              </w:rPr>
              <w:t>151,928</w:t>
            </w:r>
          </w:p>
        </w:tc>
      </w:tr>
    </w:tbl>
    <w:p w:rsidR="008C4758" w:rsidRPr="001911F6" w:rsidRDefault="008C4758" w:rsidP="008C4758">
      <w:pPr>
        <w:pStyle w:val="AufzhlungspunkteCHG-MERIDIAN"/>
        <w:numPr>
          <w:ilvl w:val="0"/>
          <w:numId w:val="0"/>
        </w:numPr>
        <w:ind w:left="360" w:hanging="360"/>
        <w:rPr>
          <w:sz w:val="10"/>
          <w:szCs w:val="10"/>
        </w:rPr>
      </w:pPr>
      <w:r>
        <w:rPr>
          <w:sz w:val="10"/>
        </w:rPr>
        <w:t>*Gross profit refers to the cash value of all new contracts and after-market sales, less direct acquisition and financing costs.</w:t>
      </w:r>
    </w:p>
    <w:p w:rsidR="008C4758" w:rsidRPr="00547341" w:rsidRDefault="008C4758" w:rsidP="008C4758">
      <w:pPr>
        <w:pStyle w:val="AufzhlungspunkteCHG-MERIDIAN"/>
        <w:numPr>
          <w:ilvl w:val="0"/>
          <w:numId w:val="0"/>
        </w:numPr>
        <w:spacing w:line="360" w:lineRule="auto"/>
        <w:jc w:val="both"/>
        <w:rPr>
          <w:sz w:val="14"/>
          <w:szCs w:val="14"/>
        </w:rPr>
      </w:pPr>
    </w:p>
    <w:p w:rsidR="008C4758" w:rsidRDefault="008C4758" w:rsidP="00815256">
      <w:pPr>
        <w:pStyle w:val="AufzhlungspunkteCHG-MERIDIAN"/>
        <w:numPr>
          <w:ilvl w:val="0"/>
          <w:numId w:val="0"/>
        </w:numPr>
        <w:jc w:val="both"/>
        <w:rPr>
          <w:b/>
          <w:szCs w:val="19"/>
        </w:rPr>
      </w:pPr>
    </w:p>
    <w:p w:rsidR="00127901" w:rsidRPr="00F649D6" w:rsidRDefault="00127901" w:rsidP="00815256">
      <w:pPr>
        <w:pStyle w:val="AufzhlungspunkteCHG-MERIDIAN"/>
        <w:numPr>
          <w:ilvl w:val="0"/>
          <w:numId w:val="0"/>
        </w:numPr>
        <w:jc w:val="both"/>
        <w:rPr>
          <w:b/>
          <w:szCs w:val="19"/>
        </w:rPr>
      </w:pPr>
      <w:r>
        <w:rPr>
          <w:b/>
        </w:rPr>
        <w:t xml:space="preserve">For more information and photos, please visit: </w:t>
      </w:r>
      <w:hyperlink r:id="rId8">
        <w:r>
          <w:rPr>
            <w:rStyle w:val="Hyperlink"/>
            <w:b/>
            <w:color w:val="auto"/>
            <w:u w:val="none"/>
          </w:rPr>
          <w:t>www.chg-meridian.com</w:t>
        </w:r>
      </w:hyperlink>
      <w:r>
        <w:rPr>
          <w:b/>
        </w:rPr>
        <w:t xml:space="preserve"> </w:t>
      </w:r>
    </w:p>
    <w:p w:rsidR="007F0B76" w:rsidRDefault="007F0B76" w:rsidP="00F649D6">
      <w:pPr>
        <w:pStyle w:val="AufzhlungspunkteCHG-MERIDIAN"/>
        <w:numPr>
          <w:ilvl w:val="0"/>
          <w:numId w:val="0"/>
        </w:numPr>
        <w:spacing w:line="360" w:lineRule="auto"/>
        <w:jc w:val="both"/>
        <w:rPr>
          <w:szCs w:val="19"/>
        </w:rPr>
      </w:pPr>
    </w:p>
    <w:p w:rsidR="000728EF" w:rsidRDefault="000728EF" w:rsidP="00F649D6">
      <w:pPr>
        <w:pStyle w:val="AufzhlungspunkteCHG-MERIDIAN"/>
        <w:numPr>
          <w:ilvl w:val="0"/>
          <w:numId w:val="0"/>
        </w:numPr>
        <w:spacing w:line="360" w:lineRule="auto"/>
        <w:jc w:val="both"/>
        <w:rPr>
          <w:szCs w:val="19"/>
        </w:rPr>
      </w:pPr>
    </w:p>
    <w:p w:rsidR="008C4758" w:rsidRDefault="008C4758" w:rsidP="00F649D6">
      <w:pPr>
        <w:pStyle w:val="AufzhlungspunkteCHG-MERIDIAN"/>
        <w:numPr>
          <w:ilvl w:val="0"/>
          <w:numId w:val="0"/>
        </w:numPr>
        <w:spacing w:line="360" w:lineRule="auto"/>
        <w:jc w:val="both"/>
        <w:rPr>
          <w:szCs w:val="19"/>
        </w:rPr>
      </w:pPr>
    </w:p>
    <w:p w:rsidR="00243867" w:rsidRDefault="00243867" w:rsidP="00F649D6">
      <w:pPr>
        <w:pStyle w:val="AufzhlungspunkteCHG-MERIDIAN"/>
        <w:numPr>
          <w:ilvl w:val="0"/>
          <w:numId w:val="0"/>
        </w:numPr>
        <w:spacing w:line="360" w:lineRule="auto"/>
        <w:jc w:val="both"/>
        <w:rPr>
          <w:szCs w:val="19"/>
        </w:rPr>
      </w:pPr>
    </w:p>
    <w:p w:rsidR="00AE440C" w:rsidRPr="000728EF" w:rsidRDefault="00AE440C" w:rsidP="000728EF">
      <w:pPr>
        <w:spacing w:line="240" w:lineRule="auto"/>
        <w:rPr>
          <w:rFonts w:cs="Arial"/>
          <w:b/>
          <w:noProof/>
          <w:sz w:val="14"/>
          <w:szCs w:val="14"/>
        </w:rPr>
      </w:pPr>
      <w:r>
        <w:rPr>
          <w:b/>
          <w:noProof/>
          <w:sz w:val="14"/>
        </w:rPr>
        <w:t>CHG-MERIDIAN: The company</w:t>
      </w:r>
    </w:p>
    <w:p w:rsidR="00F154D9" w:rsidRDefault="00965133" w:rsidP="00965133">
      <w:pPr>
        <w:pStyle w:val="AufzhlungspunkteCHG-MERIDIAN"/>
        <w:numPr>
          <w:ilvl w:val="0"/>
          <w:numId w:val="0"/>
        </w:numPr>
        <w:spacing w:line="240" w:lineRule="auto"/>
        <w:jc w:val="both"/>
        <w:rPr>
          <w:rFonts w:cs="Arial"/>
          <w:noProof/>
          <w:sz w:val="14"/>
          <w:szCs w:val="14"/>
        </w:rPr>
      </w:pPr>
      <w:r>
        <w:rPr>
          <w:noProof/>
          <w:sz w:val="14"/>
        </w:rPr>
        <w:t>CHG-MERIDIAN is one of the world's leading manufacturer- and bank-independent providers of technology management services to the IT, telecommunication, industry and health care sectors. With some 800 employees, CHG-MERIDIAN provides its customers with comprehensive support for their technology infrastructures—from consulting, to financial and operational services, to remarketing used equipment through its Technology and Service Center. CHG-MERIDIAN provides mid-sized and large companies as well as government agencies with efficient technology management; worldwide, it now serves more than 8,000 customers and manages more than €3.5 billion in technology investments. More than 1,600 of its customers also use TESMA© Online, its technology and service management system, for their internal technology controlling needs. The company has offices in 40 locations in 23 countries across the globe; its headquarters are in the South German city of Weingarten.</w:t>
      </w:r>
    </w:p>
    <w:p w:rsidR="00965133" w:rsidRPr="00965133" w:rsidRDefault="00965133" w:rsidP="00243867">
      <w:pPr>
        <w:rPr>
          <w:sz w:val="14"/>
          <w:szCs w:val="14"/>
        </w:rPr>
      </w:pPr>
      <w:r>
        <w:rPr>
          <w:noProof/>
          <w:sz w:val="14"/>
        </w:rPr>
        <w:t>Efficient Technology Management</w:t>
      </w:r>
      <w:r>
        <w:rPr>
          <w:noProof/>
          <w:sz w:val="14"/>
          <w:vertAlign w:val="superscript"/>
        </w:rPr>
        <w:t xml:space="preserve"> ®</w:t>
      </w:r>
      <w:r>
        <w:rPr>
          <w:noProof/>
          <w:sz w:val="14"/>
        </w:rPr>
        <w:t xml:space="preserve"> </w:t>
      </w:r>
    </w:p>
    <w:sectPr w:rsidR="00965133" w:rsidRPr="00965133" w:rsidSect="0066580C">
      <w:headerReference w:type="default" r:id="rId9"/>
      <w:footerReference w:type="default" r:id="rId10"/>
      <w:headerReference w:type="first" r:id="rId11"/>
      <w:footerReference w:type="first" r:id="rId12"/>
      <w:pgSz w:w="11906" w:h="16838" w:code="9"/>
      <w:pgMar w:top="1701" w:right="1531"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80" w:rsidRDefault="00A04580" w:rsidP="00193879">
      <w:pPr>
        <w:spacing w:line="240" w:lineRule="auto"/>
      </w:pPr>
      <w:r>
        <w:separator/>
      </w:r>
    </w:p>
  </w:endnote>
  <w:endnote w:type="continuationSeparator" w:id="0">
    <w:p w:rsidR="00A04580" w:rsidRDefault="00A04580"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4E" w:rsidRDefault="00574E4E">
    <w:pPr>
      <w:pStyle w:val="Fuzeile"/>
    </w:pPr>
    <w:r>
      <w:rPr>
        <w:noProof/>
        <w:lang w:bidi="ar-SA"/>
      </w:rPr>
      <w:drawing>
        <wp:anchor distT="0" distB="0" distL="114300" distR="114300" simplePos="0" relativeHeight="251662336" behindDoc="1" locked="0" layoutInCell="1" allowOverlap="1" wp14:anchorId="1C65468C" wp14:editId="4B9B32B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4E" w:rsidRDefault="00574E4E">
    <w:pPr>
      <w:pStyle w:val="Fuzeile"/>
    </w:pPr>
    <w:r>
      <w:rPr>
        <w:noProof/>
        <w:lang w:bidi="ar-SA"/>
      </w:rPr>
      <w:drawing>
        <wp:anchor distT="0" distB="0" distL="114300" distR="114300" simplePos="0" relativeHeight="251660288" behindDoc="1" locked="0" layoutInCell="1" allowOverlap="1" wp14:anchorId="0379F7B3" wp14:editId="1215C8CE">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80" w:rsidRDefault="00A04580" w:rsidP="00193879">
      <w:pPr>
        <w:spacing w:line="240" w:lineRule="auto"/>
      </w:pPr>
      <w:r>
        <w:separator/>
      </w:r>
    </w:p>
  </w:footnote>
  <w:footnote w:type="continuationSeparator" w:id="0">
    <w:p w:rsidR="00A04580" w:rsidRDefault="00A04580"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4E" w:rsidRPr="003F430F" w:rsidRDefault="00574E4E" w:rsidP="0066580C">
    <w:pPr>
      <w:framePr w:w="7859" w:h="227" w:hRule="exact" w:wrap="around" w:vAnchor="page" w:hAnchor="page" w:x="1305" w:y="1305" w:anchorLock="1"/>
      <w:spacing w:line="180" w:lineRule="exact"/>
      <w:rPr>
        <w:rFonts w:cs="Arial"/>
        <w:noProof/>
        <w:color w:val="6F6F6F"/>
        <w:sz w:val="14"/>
        <w:szCs w:val="14"/>
      </w:rPr>
    </w:pPr>
    <w:r>
      <w:rPr>
        <w:color w:val="6F6F6F"/>
        <w:sz w:val="14"/>
      </w:rPr>
      <w:t>Page</w:t>
    </w:r>
    <w:r w:rsidRPr="00B77EB2">
      <w:rPr>
        <w:rFonts w:cs="Arial"/>
        <w:color w:val="6F6F6F"/>
        <w:sz w:val="14"/>
        <w:szCs w:val="14"/>
      </w:rPr>
      <w:fldChar w:fldCharType="begin"/>
    </w:r>
    <w:r w:rsidRPr="00B77EB2">
      <w:rPr>
        <w:rFonts w:cs="Arial"/>
        <w:color w:val="6F6F6F"/>
        <w:sz w:val="14"/>
        <w:szCs w:val="14"/>
      </w:rPr>
      <w:instrText xml:space="preserve"> PAGE </w:instrText>
    </w:r>
    <w:r w:rsidRPr="00B77EB2">
      <w:rPr>
        <w:rFonts w:cs="Arial"/>
        <w:color w:val="6F6F6F"/>
        <w:sz w:val="14"/>
        <w:szCs w:val="14"/>
      </w:rPr>
      <w:fldChar w:fldCharType="separate"/>
    </w:r>
    <w:r w:rsidR="00C369A6">
      <w:rPr>
        <w:rFonts w:cs="Arial"/>
        <w:noProof/>
        <w:color w:val="6F6F6F"/>
        <w:sz w:val="14"/>
        <w:szCs w:val="14"/>
      </w:rPr>
      <w:t>2</w:t>
    </w:r>
    <w:r w:rsidRPr="00B77EB2">
      <w:rPr>
        <w:rFonts w:cs="Arial"/>
        <w:color w:val="6F6F6F"/>
        <w:sz w:val="14"/>
        <w:szCs w:val="14"/>
      </w:rPr>
      <w:fldChar w:fldCharType="end"/>
    </w:r>
    <w:r>
      <w:rPr>
        <w:color w:val="6F6F6F"/>
        <w:sz w:val="14"/>
      </w:rPr>
      <w:t xml:space="preserve"> of </w:t>
    </w:r>
    <w:r w:rsidRPr="00B77EB2">
      <w:rPr>
        <w:rFonts w:cs="Arial"/>
        <w:color w:val="6F6F6F"/>
        <w:sz w:val="14"/>
        <w:szCs w:val="14"/>
      </w:rPr>
      <w:fldChar w:fldCharType="begin"/>
    </w:r>
    <w:r w:rsidRPr="00B77EB2">
      <w:rPr>
        <w:rFonts w:cs="Arial"/>
        <w:color w:val="6F6F6F"/>
        <w:sz w:val="14"/>
        <w:szCs w:val="14"/>
      </w:rPr>
      <w:instrText xml:space="preserve"> NUMPAGES </w:instrText>
    </w:r>
    <w:r w:rsidRPr="00B77EB2">
      <w:rPr>
        <w:rFonts w:cs="Arial"/>
        <w:color w:val="6F6F6F"/>
        <w:sz w:val="14"/>
        <w:szCs w:val="14"/>
      </w:rPr>
      <w:fldChar w:fldCharType="separate"/>
    </w:r>
    <w:r w:rsidR="00C369A6">
      <w:rPr>
        <w:rFonts w:cs="Arial"/>
        <w:noProof/>
        <w:color w:val="6F6F6F"/>
        <w:sz w:val="14"/>
        <w:szCs w:val="14"/>
      </w:rPr>
      <w:t>2</w:t>
    </w:r>
    <w:r w:rsidRPr="00B77EB2">
      <w:rPr>
        <w:rFonts w:cs="Arial"/>
        <w:color w:val="6F6F6F"/>
        <w:sz w:val="14"/>
        <w:szCs w:val="14"/>
      </w:rPr>
      <w:fldChar w:fldCharType="end"/>
    </w:r>
    <w:r>
      <w:rPr>
        <w:color w:val="6F6F6F"/>
        <w:sz w:val="14"/>
      </w:rPr>
      <w:t xml:space="preserve"> </w:t>
    </w:r>
  </w:p>
  <w:p w:rsidR="00574E4E" w:rsidRPr="003F430F" w:rsidRDefault="00574E4E" w:rsidP="0066580C">
    <w:pPr>
      <w:framePr w:w="7859" w:h="227" w:hRule="exact" w:wrap="around" w:vAnchor="page" w:hAnchor="page" w:x="1305" w:y="1305" w:anchorLock="1"/>
      <w:rPr>
        <w:noProof/>
      </w:rPr>
    </w:pPr>
  </w:p>
  <w:p w:rsidR="00574E4E" w:rsidRPr="003F430F" w:rsidRDefault="00574E4E" w:rsidP="0066580C">
    <w:pPr>
      <w:framePr w:w="7859" w:h="227" w:hRule="exact" w:wrap="around" w:vAnchor="page" w:hAnchor="page" w:x="1305" w:y="1305" w:anchorLock="1"/>
      <w:rPr>
        <w:noProof/>
      </w:rPr>
    </w:pPr>
  </w:p>
  <w:p w:rsidR="00574E4E" w:rsidRPr="003F430F" w:rsidRDefault="00574E4E" w:rsidP="0066580C">
    <w:pPr>
      <w:framePr w:w="7859" w:h="227" w:hRule="exact" w:wrap="around" w:vAnchor="page" w:hAnchor="page" w:x="1305" w:y="1305" w:anchorLock="1"/>
    </w:pPr>
  </w:p>
  <w:p w:rsidR="00574E4E" w:rsidRPr="003F430F" w:rsidRDefault="00574E4E" w:rsidP="0066580C">
    <w:pPr>
      <w:framePr w:w="7859" w:h="227" w:hRule="exact" w:wrap="around" w:vAnchor="page" w:hAnchor="page" w:x="1305" w:y="1305" w:anchorLock="1"/>
      <w:rPr>
        <w:noProof/>
      </w:rPr>
    </w:pPr>
    <w:fldSimple w:instr="MERGEFIELD EFax \* MERGEFORMAT">
      <w:r>
        <w:t>EFax</w:t>
      </w:r>
    </w:fldSimple>
  </w:p>
  <w:p w:rsidR="00574E4E" w:rsidRPr="003F430F" w:rsidRDefault="00574E4E" w:rsidP="0066580C">
    <w:pPr>
      <w:framePr w:w="7859" w:h="227" w:hRule="exact" w:wrap="around" w:vAnchor="page" w:hAnchor="page" w:x="1305" w:y="1305" w:anchorLock="1"/>
      <w:rPr>
        <w:noProof/>
      </w:rPr>
    </w:pPr>
  </w:p>
  <w:p w:rsidR="00574E4E" w:rsidRPr="003F430F" w:rsidRDefault="00574E4E" w:rsidP="0066580C">
    <w:pPr>
      <w:framePr w:w="7859" w:h="227" w:hRule="exact" w:wrap="around" w:vAnchor="page" w:hAnchor="page" w:x="1305" w:y="1305" w:anchorLock="1"/>
      <w:spacing w:line="180" w:lineRule="exact"/>
      <w:rPr>
        <w:rFonts w:cs="Arial"/>
        <w:color w:val="969696"/>
        <w:sz w:val="14"/>
        <w:szCs w:val="14"/>
      </w:rPr>
    </w:pPr>
  </w:p>
  <w:p w:rsidR="00574E4E" w:rsidRPr="006A7DBA" w:rsidRDefault="00574E4E" w:rsidP="0066580C">
    <w:pPr>
      <w:framePr w:w="7859" w:h="227" w:hRule="exact" w:wrap="around" w:vAnchor="page" w:hAnchor="page" w:x="1305" w:y="1305" w:anchorLock="1"/>
      <w:spacing w:line="180" w:lineRule="exact"/>
      <w:rPr>
        <w:b/>
        <w:i/>
        <w:noProof/>
        <w:color w:val="969696"/>
        <w:sz w:val="14"/>
        <w:szCs w:val="14"/>
      </w:rPr>
    </w:pPr>
    <w:r>
      <w:rPr>
        <w:b/>
        <w:i/>
        <w:color w:val="969696"/>
        <w:sz w:val="14"/>
      </w:rPr>
      <w:t>Subject: Microsoft Software</w:t>
    </w:r>
  </w:p>
  <w:p w:rsidR="00574E4E" w:rsidRDefault="00574E4E" w:rsidP="00AE708B">
    <w:pPr>
      <w:pStyle w:val="Kopfzeile"/>
    </w:pPr>
    <w:r>
      <w:rPr>
        <w:noProof/>
        <w:lang w:bidi="ar-SA"/>
      </w:rPr>
      <w:drawing>
        <wp:anchor distT="0" distB="0" distL="114300" distR="114300" simplePos="0" relativeHeight="251657216" behindDoc="1" locked="0" layoutInCell="1" allowOverlap="1" wp14:anchorId="75D8AEEA" wp14:editId="14BB3C33">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E4E" w:rsidRPr="00DA141B" w:rsidRDefault="00574E4E" w:rsidP="00AE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17"/>
    </w:tblGrid>
    <w:tr w:rsidR="00574E4E" w:rsidRPr="004B298C" w:rsidTr="007C30C3">
      <w:tc>
        <w:tcPr>
          <w:tcW w:w="2657" w:type="dxa"/>
          <w:hideMark/>
        </w:tcPr>
        <w:p w:rsidR="00574E4E" w:rsidRDefault="00574E4E"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4/24/2015</w:t>
          </w:r>
        </w:p>
        <w:p w:rsidR="00574E4E" w:rsidRPr="00F649D6"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574E4E" w:rsidRPr="00F649D6"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rsidR="00574E4E" w:rsidRPr="00F649D6"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rsidR="00574E4E" w:rsidRPr="00F649D6"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rsidR="00574E4E" w:rsidRPr="0065673F"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rsidR="00574E4E" w:rsidRPr="0065673F"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574E4E" w:rsidRPr="0065673F"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Franz-Beer-Straße 111</w:t>
          </w:r>
        </w:p>
        <w:p w:rsidR="00574E4E" w:rsidRPr="0065673F"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D-88250 Weingarten</w:t>
          </w:r>
        </w:p>
        <w:p w:rsidR="00574E4E" w:rsidRPr="0065673F"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574E4E" w:rsidRPr="0065673F"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Tel. +49 751 503-248</w:t>
          </w:r>
        </w:p>
        <w:p w:rsidR="00574E4E" w:rsidRPr="0065673F"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Fax. +49 751 503-7248</w:t>
          </w:r>
        </w:p>
        <w:p w:rsidR="00574E4E" w:rsidRPr="0065673F"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Cell phone: +49 172 667-1341 </w:t>
          </w:r>
        </w:p>
        <w:p w:rsidR="00574E4E" w:rsidRPr="00965133" w:rsidRDefault="00A04580"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r w:rsidR="00025FED">
              <w:rPr>
                <w:color w:val="6F6F6E"/>
                <w:sz w:val="14"/>
              </w:rPr>
              <w:t>matthias.steybe@chg-</w:t>
            </w:r>
          </w:hyperlink>
        </w:p>
        <w:p w:rsidR="00574E4E" w:rsidRPr="00965133"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rPr>
            <w:t>meridian.de</w:t>
          </w:r>
        </w:p>
        <w:p w:rsidR="00574E4E" w:rsidRPr="00965133"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p>
        <w:p w:rsidR="00574E4E" w:rsidRPr="00965133" w:rsidRDefault="00574E4E"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rsidR="00574E4E" w:rsidRPr="00965133" w:rsidRDefault="00574E4E" w:rsidP="008746ED">
          <w:pPr>
            <w:framePr w:w="2517" w:h="8505" w:hSpace="482" w:wrap="around" w:vAnchor="page" w:hAnchor="page" w:x="9385" w:y="6539" w:anchorLock="1"/>
            <w:spacing w:line="210" w:lineRule="exact"/>
            <w:rPr>
              <w:sz w:val="14"/>
              <w:szCs w:val="14"/>
            </w:rPr>
          </w:pPr>
        </w:p>
      </w:tc>
    </w:tr>
  </w:tbl>
  <w:p w:rsidR="00574E4E" w:rsidRPr="00965133" w:rsidRDefault="00574E4E" w:rsidP="008746ED">
    <w:pPr>
      <w:framePr w:w="2517" w:h="8505" w:hSpace="482" w:wrap="around" w:vAnchor="page" w:hAnchor="page" w:x="9385" w:y="6539" w:anchorLock="1"/>
      <w:spacing w:line="210" w:lineRule="exact"/>
      <w:rPr>
        <w:sz w:val="14"/>
        <w:szCs w:val="14"/>
      </w:rPr>
    </w:pPr>
  </w:p>
  <w:p w:rsidR="00574E4E" w:rsidRPr="00965133" w:rsidRDefault="00574E4E" w:rsidP="008746ED">
    <w:pPr>
      <w:framePr w:w="2517" w:h="8505" w:hSpace="482" w:wrap="around" w:vAnchor="page" w:hAnchor="page" w:x="9385" w:y="6539" w:anchorLock="1"/>
      <w:spacing w:line="210" w:lineRule="exact"/>
      <w:rPr>
        <w:sz w:val="14"/>
        <w:szCs w:val="14"/>
      </w:rPr>
    </w:pPr>
  </w:p>
  <w:p w:rsidR="00574E4E" w:rsidRPr="00965133" w:rsidRDefault="00574E4E" w:rsidP="008746ED">
    <w:pPr>
      <w:framePr w:w="2517" w:h="8505" w:hSpace="482" w:wrap="around" w:vAnchor="page" w:hAnchor="page" w:x="9385" w:y="6539" w:anchorLock="1"/>
      <w:spacing w:line="210" w:lineRule="exact"/>
      <w:rPr>
        <w:sz w:val="14"/>
        <w:szCs w:val="14"/>
      </w:rPr>
    </w:pPr>
  </w:p>
  <w:p w:rsidR="00574E4E" w:rsidRPr="00277562" w:rsidRDefault="00574E4E" w:rsidP="00154F03">
    <w:pPr>
      <w:pStyle w:val="berschrift2"/>
    </w:pPr>
    <w:r>
      <w:rPr>
        <w:b w:val="0"/>
      </w:rPr>
      <w:t>PRESS RELEASE</w:t>
    </w:r>
    <w:r>
      <w:rPr>
        <w:noProof/>
        <w:lang w:bidi="ar-SA"/>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D"/>
    <w:rsid w:val="00005023"/>
    <w:rsid w:val="00016FCB"/>
    <w:rsid w:val="000170FA"/>
    <w:rsid w:val="00025FED"/>
    <w:rsid w:val="00045FB2"/>
    <w:rsid w:val="00056021"/>
    <w:rsid w:val="00060E4A"/>
    <w:rsid w:val="000728EF"/>
    <w:rsid w:val="000745C5"/>
    <w:rsid w:val="000957F1"/>
    <w:rsid w:val="000A220D"/>
    <w:rsid w:val="000E3B33"/>
    <w:rsid w:val="000F2216"/>
    <w:rsid w:val="00101A4A"/>
    <w:rsid w:val="00106D2E"/>
    <w:rsid w:val="00107A97"/>
    <w:rsid w:val="00107EA9"/>
    <w:rsid w:val="00127901"/>
    <w:rsid w:val="00152C8F"/>
    <w:rsid w:val="00154F03"/>
    <w:rsid w:val="00184C0C"/>
    <w:rsid w:val="001904F1"/>
    <w:rsid w:val="00193879"/>
    <w:rsid w:val="001A5394"/>
    <w:rsid w:val="001A5BAE"/>
    <w:rsid w:val="001C10A8"/>
    <w:rsid w:val="001C1C71"/>
    <w:rsid w:val="00201E88"/>
    <w:rsid w:val="002312C1"/>
    <w:rsid w:val="00236422"/>
    <w:rsid w:val="00243867"/>
    <w:rsid w:val="00250D99"/>
    <w:rsid w:val="00261633"/>
    <w:rsid w:val="00277562"/>
    <w:rsid w:val="0028278C"/>
    <w:rsid w:val="00306A86"/>
    <w:rsid w:val="003206AE"/>
    <w:rsid w:val="00327440"/>
    <w:rsid w:val="00337318"/>
    <w:rsid w:val="00364AF8"/>
    <w:rsid w:val="00387D7C"/>
    <w:rsid w:val="003B0F32"/>
    <w:rsid w:val="003B3BAE"/>
    <w:rsid w:val="003B6F92"/>
    <w:rsid w:val="003D00C6"/>
    <w:rsid w:val="003F164A"/>
    <w:rsid w:val="003F430F"/>
    <w:rsid w:val="00403AB2"/>
    <w:rsid w:val="00424515"/>
    <w:rsid w:val="00426275"/>
    <w:rsid w:val="00430285"/>
    <w:rsid w:val="00443733"/>
    <w:rsid w:val="00451A60"/>
    <w:rsid w:val="004A393E"/>
    <w:rsid w:val="004B298C"/>
    <w:rsid w:val="004D5BC0"/>
    <w:rsid w:val="004E10ED"/>
    <w:rsid w:val="004F37EC"/>
    <w:rsid w:val="004F7A21"/>
    <w:rsid w:val="005160EE"/>
    <w:rsid w:val="00550817"/>
    <w:rsid w:val="00552388"/>
    <w:rsid w:val="00567BFC"/>
    <w:rsid w:val="00567D3C"/>
    <w:rsid w:val="0057093D"/>
    <w:rsid w:val="00574E4E"/>
    <w:rsid w:val="00595777"/>
    <w:rsid w:val="005B3422"/>
    <w:rsid w:val="005D0D43"/>
    <w:rsid w:val="005E21FA"/>
    <w:rsid w:val="005E2F57"/>
    <w:rsid w:val="005E6F43"/>
    <w:rsid w:val="005F48F5"/>
    <w:rsid w:val="0060264D"/>
    <w:rsid w:val="00602EAE"/>
    <w:rsid w:val="00630C12"/>
    <w:rsid w:val="00641A33"/>
    <w:rsid w:val="0065673F"/>
    <w:rsid w:val="00660FD7"/>
    <w:rsid w:val="0066580C"/>
    <w:rsid w:val="00677E1C"/>
    <w:rsid w:val="006A78A1"/>
    <w:rsid w:val="006A7DBA"/>
    <w:rsid w:val="006C79F8"/>
    <w:rsid w:val="0072300A"/>
    <w:rsid w:val="007349B8"/>
    <w:rsid w:val="00735728"/>
    <w:rsid w:val="00746B17"/>
    <w:rsid w:val="00761D6A"/>
    <w:rsid w:val="007650DD"/>
    <w:rsid w:val="00784F23"/>
    <w:rsid w:val="007906E4"/>
    <w:rsid w:val="00790A30"/>
    <w:rsid w:val="00790D39"/>
    <w:rsid w:val="007918A9"/>
    <w:rsid w:val="007A3235"/>
    <w:rsid w:val="007A4898"/>
    <w:rsid w:val="007B5DFA"/>
    <w:rsid w:val="007C30C3"/>
    <w:rsid w:val="007F0B76"/>
    <w:rsid w:val="0081089B"/>
    <w:rsid w:val="00814BF7"/>
    <w:rsid w:val="00815256"/>
    <w:rsid w:val="008169AA"/>
    <w:rsid w:val="00832B86"/>
    <w:rsid w:val="00852F49"/>
    <w:rsid w:val="0086434A"/>
    <w:rsid w:val="008734ED"/>
    <w:rsid w:val="008746ED"/>
    <w:rsid w:val="008820FF"/>
    <w:rsid w:val="0089169F"/>
    <w:rsid w:val="008C3CE7"/>
    <w:rsid w:val="008C4758"/>
    <w:rsid w:val="008C4893"/>
    <w:rsid w:val="008D7477"/>
    <w:rsid w:val="008E503E"/>
    <w:rsid w:val="008F7E95"/>
    <w:rsid w:val="00903604"/>
    <w:rsid w:val="00907CDE"/>
    <w:rsid w:val="009522B2"/>
    <w:rsid w:val="00965133"/>
    <w:rsid w:val="00980BFF"/>
    <w:rsid w:val="009966E2"/>
    <w:rsid w:val="009B1B4C"/>
    <w:rsid w:val="009D0D7B"/>
    <w:rsid w:val="009D4F57"/>
    <w:rsid w:val="009E75D8"/>
    <w:rsid w:val="00A04580"/>
    <w:rsid w:val="00A1119D"/>
    <w:rsid w:val="00A14B5F"/>
    <w:rsid w:val="00A41EBA"/>
    <w:rsid w:val="00A731B0"/>
    <w:rsid w:val="00A80109"/>
    <w:rsid w:val="00A86448"/>
    <w:rsid w:val="00A93BB6"/>
    <w:rsid w:val="00A9570F"/>
    <w:rsid w:val="00A96C2D"/>
    <w:rsid w:val="00AA6D5B"/>
    <w:rsid w:val="00AD0A95"/>
    <w:rsid w:val="00AD0DD5"/>
    <w:rsid w:val="00AD6242"/>
    <w:rsid w:val="00AE440C"/>
    <w:rsid w:val="00AE58AD"/>
    <w:rsid w:val="00AE708B"/>
    <w:rsid w:val="00B20AC8"/>
    <w:rsid w:val="00B537C1"/>
    <w:rsid w:val="00B54AF6"/>
    <w:rsid w:val="00B55399"/>
    <w:rsid w:val="00B73D82"/>
    <w:rsid w:val="00B77EB2"/>
    <w:rsid w:val="00B86B7F"/>
    <w:rsid w:val="00B86EB9"/>
    <w:rsid w:val="00BC6436"/>
    <w:rsid w:val="00BF0386"/>
    <w:rsid w:val="00C278AD"/>
    <w:rsid w:val="00C369A6"/>
    <w:rsid w:val="00C53172"/>
    <w:rsid w:val="00C70AF1"/>
    <w:rsid w:val="00C748E2"/>
    <w:rsid w:val="00C90223"/>
    <w:rsid w:val="00C96A81"/>
    <w:rsid w:val="00CA3999"/>
    <w:rsid w:val="00CA5430"/>
    <w:rsid w:val="00CD4CB8"/>
    <w:rsid w:val="00CD78BD"/>
    <w:rsid w:val="00D01E2B"/>
    <w:rsid w:val="00D040A3"/>
    <w:rsid w:val="00D60475"/>
    <w:rsid w:val="00D64687"/>
    <w:rsid w:val="00D648C1"/>
    <w:rsid w:val="00D70A20"/>
    <w:rsid w:val="00D82FA5"/>
    <w:rsid w:val="00D878BD"/>
    <w:rsid w:val="00DA141B"/>
    <w:rsid w:val="00DA6550"/>
    <w:rsid w:val="00DD09BD"/>
    <w:rsid w:val="00E00362"/>
    <w:rsid w:val="00E21BC1"/>
    <w:rsid w:val="00E225A4"/>
    <w:rsid w:val="00E51881"/>
    <w:rsid w:val="00E61C32"/>
    <w:rsid w:val="00E63825"/>
    <w:rsid w:val="00E63B4E"/>
    <w:rsid w:val="00E847BD"/>
    <w:rsid w:val="00EB4CDA"/>
    <w:rsid w:val="00EC3674"/>
    <w:rsid w:val="00EC70A4"/>
    <w:rsid w:val="00ED6A85"/>
    <w:rsid w:val="00F06B68"/>
    <w:rsid w:val="00F154D9"/>
    <w:rsid w:val="00F271DD"/>
    <w:rsid w:val="00F50FD5"/>
    <w:rsid w:val="00F574E9"/>
    <w:rsid w:val="00F649D6"/>
    <w:rsid w:val="00FC2ED5"/>
    <w:rsid w:val="00FE02F5"/>
    <w:rsid w:val="00FE2CDE"/>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DE385C58-4CF2-4D68-AEF6-2C00ED03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HG-Standard"/>
    <w:qFormat/>
    <w:rsid w:val="00B20AC8"/>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180270173">
      <w:bodyDiv w:val="1"/>
      <w:marLeft w:val="0"/>
      <w:marRight w:val="0"/>
      <w:marTop w:val="0"/>
      <w:marBottom w:val="0"/>
      <w:divBdr>
        <w:top w:val="none" w:sz="0" w:space="0" w:color="auto"/>
        <w:left w:val="none" w:sz="0" w:space="0" w:color="auto"/>
        <w:bottom w:val="none" w:sz="0" w:space="0" w:color="auto"/>
        <w:right w:val="none" w:sz="0" w:space="0" w:color="auto"/>
      </w:divBdr>
    </w:div>
    <w:div w:id="1859345163">
      <w:bodyDiv w:val="1"/>
      <w:marLeft w:val="0"/>
      <w:marRight w:val="0"/>
      <w:marTop w:val="0"/>
      <w:marBottom w:val="0"/>
      <w:divBdr>
        <w:top w:val="none" w:sz="0" w:space="0" w:color="auto"/>
        <w:left w:val="none" w:sz="0" w:space="0" w:color="auto"/>
        <w:bottom w:val="none" w:sz="0" w:space="0" w:color="auto"/>
        <w:right w:val="none" w:sz="0" w:space="0" w:color="auto"/>
      </w:divBdr>
    </w:div>
    <w:div w:id="19856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g-meridia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D9FA-4DD7-4BAE-A2D6-E5BF5684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Jaime McGill</cp:lastModifiedBy>
  <cp:revision>2</cp:revision>
  <cp:lastPrinted>2015-04-22T12:40:00Z</cp:lastPrinted>
  <dcterms:created xsi:type="dcterms:W3CDTF">2015-04-23T12:42:00Z</dcterms:created>
  <dcterms:modified xsi:type="dcterms:W3CDTF">2015-04-23T12:42:00Z</dcterms:modified>
</cp:coreProperties>
</file>